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686E" w:rsidRDefault="0094686E" w:rsidP="00D36D65">
      <w:pPr>
        <w:shd w:val="clear" w:color="auto" w:fill="FFFFFF" w:themeFill="background1"/>
        <w:spacing w:line="259" w:lineRule="auto"/>
        <w:jc w:val="center"/>
        <w:rPr>
          <w:rFonts w:ascii="Garamond" w:hAnsi="Garamond"/>
          <w:b/>
          <w:sz w:val="56"/>
          <w:szCs w:val="56"/>
        </w:rPr>
      </w:pPr>
      <w:bookmarkStart w:id="0" w:name="_Toc196719704"/>
      <w:bookmarkStart w:id="1" w:name="_Toc530397438"/>
      <w:bookmarkStart w:id="2" w:name="_GoBack"/>
      <w:bookmarkEnd w:id="2"/>
    </w:p>
    <w:p w:rsidR="00D36D65" w:rsidRPr="00D36D65" w:rsidRDefault="00D36D65" w:rsidP="00D36D65">
      <w:pPr>
        <w:shd w:val="clear" w:color="auto" w:fill="FFFFFF" w:themeFill="background1"/>
        <w:spacing w:line="259" w:lineRule="auto"/>
        <w:jc w:val="center"/>
        <w:rPr>
          <w:rFonts w:ascii="Garamond" w:hAnsi="Garamond"/>
          <w:b/>
          <w:sz w:val="56"/>
          <w:szCs w:val="56"/>
        </w:rPr>
      </w:pPr>
    </w:p>
    <w:p w:rsidR="0094686E" w:rsidRDefault="007D4E33" w:rsidP="007D4E33">
      <w:pPr>
        <w:tabs>
          <w:tab w:val="left" w:pos="7935"/>
        </w:tabs>
      </w:pPr>
      <w:r>
        <w:tab/>
      </w:r>
    </w:p>
    <w:p w:rsidR="0094686E" w:rsidRDefault="00F27A9A" w:rsidP="00F27A9A">
      <w:pPr>
        <w:tabs>
          <w:tab w:val="left" w:pos="6270"/>
        </w:tabs>
      </w:pPr>
      <w:r>
        <w:tab/>
      </w:r>
    </w:p>
    <w:p w:rsidR="00C50F59" w:rsidRDefault="007D4E33" w:rsidP="00392C3E">
      <w:r w:rsidRPr="003D7DBC">
        <w:rPr>
          <w:rFonts w:ascii="Garamond" w:hAnsi="Garamond"/>
          <w:b/>
          <w:noProof/>
          <w:sz w:val="56"/>
          <w:szCs w:val="56"/>
          <w:lang w:eastAsia="da-DK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35676A3" wp14:editId="07123CBC">
                <wp:simplePos x="0" y="0"/>
                <wp:positionH relativeFrom="page">
                  <wp:align>right</wp:align>
                </wp:positionH>
                <wp:positionV relativeFrom="paragraph">
                  <wp:posOffset>228600</wp:posOffset>
                </wp:positionV>
                <wp:extent cx="7553325" cy="2265045"/>
                <wp:effectExtent l="0" t="0" r="0" b="1905"/>
                <wp:wrapSquare wrapText="bothSides"/>
                <wp:docPr id="217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53325" cy="2265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0A6" w:rsidRPr="007C0F0B" w:rsidRDefault="000410A6" w:rsidP="003D7DBC">
                            <w:pPr>
                              <w:spacing w:line="259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7C0F0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ÅRSBERETNING</w:t>
                            </w:r>
                          </w:p>
                          <w:p w:rsidR="000410A6" w:rsidRPr="007C0F0B" w:rsidRDefault="000410A6" w:rsidP="003D7DBC">
                            <w:pPr>
                              <w:spacing w:line="259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7C0F0B">
                              <w:rPr>
                                <w:rFonts w:ascii="Garamond" w:hAnsi="Garamond"/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</w:rPr>
                              <w:t>201</w:t>
                            </w:r>
                            <w:r>
                              <w:rPr>
                                <w:rFonts w:ascii="Garamond" w:hAnsi="Garamond"/>
                                <w:b/>
                                <w:caps/>
                                <w:color w:val="000000" w:themeColor="text1"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  <w:p w:rsidR="000410A6" w:rsidRPr="007C0F0B" w:rsidRDefault="000410A6" w:rsidP="00D6615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7C0F0B"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Retten i 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  <w:t>Nykøbing Falster</w:t>
                            </w:r>
                          </w:p>
                          <w:p w:rsidR="000410A6" w:rsidRPr="007C0F0B" w:rsidRDefault="000410A6" w:rsidP="003D7DBC">
                            <w:pPr>
                              <w:spacing w:line="259" w:lineRule="auto"/>
                              <w:jc w:val="center"/>
                              <w:rPr>
                                <w:rFonts w:ascii="Garamond" w:hAnsi="Garamond"/>
                                <w:b/>
                                <w:color w:val="000000" w:themeColor="text1"/>
                                <w:sz w:val="56"/>
                                <w:szCs w:val="56"/>
                              </w:rPr>
                            </w:pPr>
                            <w:r w:rsidRPr="007C0F0B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>
            <w:pict>
              <v:shapetype w14:anchorId="635676A3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543.55pt;margin-top:18pt;width:594.75pt;height:178.35pt;z-index:251663360;visibility:visible;mso-wrap-style:square;mso-width-percent:0;mso-height-percent:0;mso-wrap-distance-left:9pt;mso-wrap-distance-top:3.6pt;mso-wrap-distance-right:9pt;mso-wrap-distance-bottom:3.6pt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" filled="f" stroked="f">
                <v:textbox>
                  <w:txbxContent>
                    <w:p w:rsidR="000410A6" w:rsidRPr="007C0F0B" w:rsidRDefault="000410A6" w:rsidP="003D7DBC">
                      <w:pPr>
                        <w:spacing w:line="259" w:lineRule="auto"/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7C0F0B">
                        <w:rPr>
                          <w:rFonts w:ascii="Garamond" w:hAnsi="Garamond"/>
                          <w:b/>
                          <w:color w:val="000000" w:themeColor="text1"/>
                          <w:sz w:val="56"/>
                          <w:szCs w:val="56"/>
                        </w:rPr>
                        <w:t>ÅRSBERETNING</w:t>
                      </w:r>
                    </w:p>
                    <w:p w:rsidR="000410A6" w:rsidRPr="007C0F0B" w:rsidRDefault="000410A6" w:rsidP="003D7DBC">
                      <w:pPr>
                        <w:spacing w:line="259" w:lineRule="auto"/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7C0F0B">
                        <w:rPr>
                          <w:rFonts w:ascii="Garamond" w:hAnsi="Garamond"/>
                          <w:b/>
                          <w:caps/>
                          <w:color w:val="000000" w:themeColor="text1"/>
                          <w:sz w:val="56"/>
                          <w:szCs w:val="56"/>
                        </w:rPr>
                        <w:t>201</w:t>
                      </w:r>
                      <w:r>
                        <w:rPr>
                          <w:rFonts w:ascii="Garamond" w:hAnsi="Garamond"/>
                          <w:b/>
                          <w:caps/>
                          <w:color w:val="000000" w:themeColor="text1"/>
                          <w:sz w:val="56"/>
                          <w:szCs w:val="56"/>
                        </w:rPr>
                        <w:t>9</w:t>
                      </w:r>
                    </w:p>
                    <w:p w:rsidR="000410A6" w:rsidRPr="007C0F0B" w:rsidRDefault="000410A6" w:rsidP="00D6615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7C0F0B">
                        <w:rPr>
                          <w:rFonts w:ascii="Garamond" w:hAnsi="Garamond"/>
                          <w:b/>
                          <w:color w:val="000000" w:themeColor="text1"/>
                          <w:sz w:val="56"/>
                          <w:szCs w:val="56"/>
                        </w:rPr>
                        <w:t xml:space="preserve">Retten i </w:t>
                      </w:r>
                      <w:r>
                        <w:rPr>
                          <w:rFonts w:ascii="Garamond" w:hAnsi="Garamond"/>
                          <w:b/>
                          <w:color w:val="000000" w:themeColor="text1"/>
                          <w:sz w:val="56"/>
                          <w:szCs w:val="56"/>
                        </w:rPr>
                        <w:t>Nykøbing Falster</w:t>
                      </w:r>
                    </w:p>
                    <w:p w:rsidR="000410A6" w:rsidRPr="007C0F0B" w:rsidRDefault="000410A6" w:rsidP="003D7DBC">
                      <w:pPr>
                        <w:spacing w:line="259" w:lineRule="auto"/>
                        <w:jc w:val="center"/>
                        <w:rPr>
                          <w:rFonts w:ascii="Garamond" w:hAnsi="Garamond"/>
                          <w:b/>
                          <w:color w:val="000000" w:themeColor="text1"/>
                          <w:sz w:val="56"/>
                          <w:szCs w:val="56"/>
                        </w:rPr>
                      </w:pPr>
                      <w:r w:rsidRPr="007C0F0B">
                        <w:rPr>
                          <w:color w:val="000000" w:themeColor="text1"/>
                        </w:rPr>
                        <w:t xml:space="preserve"> 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</w:p>
    <w:p w:rsidR="00700A2E" w:rsidRDefault="00700A2E">
      <w:pPr>
        <w:spacing w:line="259" w:lineRule="auto"/>
        <w:jc w:val="left"/>
      </w:pPr>
      <w:r>
        <w:br w:type="page"/>
      </w:r>
    </w:p>
    <w:p w:rsidR="00700A2E" w:rsidRDefault="00700A2E">
      <w:pPr>
        <w:pStyle w:val="Overskrift"/>
        <w:rPr>
          <w:rFonts w:ascii="Arial" w:eastAsiaTheme="minorHAnsi" w:hAnsi="Arial" w:cs="Times New Roman"/>
          <w:color w:val="auto"/>
          <w:sz w:val="24"/>
          <w:szCs w:val="22"/>
          <w:lang w:eastAsia="en-US"/>
        </w:rPr>
      </w:pPr>
      <w:bookmarkStart w:id="3" w:name="_Toc530398412"/>
    </w:p>
    <w:sdt>
      <w:sdtPr>
        <w:id w:val="-76530261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5D56C9" w:rsidRPr="00A71986" w:rsidRDefault="005D56C9" w:rsidP="00700A2E">
          <w:pPr>
            <w:spacing w:line="259" w:lineRule="auto"/>
            <w:jc w:val="left"/>
          </w:pPr>
          <w:r w:rsidRPr="005D56C9">
            <w:rPr>
              <w:rFonts w:cs="Arial"/>
              <w:b/>
              <w:sz w:val="28"/>
            </w:rPr>
            <w:t>Indhold</w:t>
          </w:r>
        </w:p>
        <w:p w:rsidR="00526FA0" w:rsidRDefault="005D56C9">
          <w:pPr>
            <w:pStyle w:val="Indholdsfortegnelse1"/>
            <w:rPr>
              <w:rFonts w:asciiTheme="minorHAnsi" w:eastAsiaTheme="minorEastAsia" w:hAnsiTheme="minorHAnsi" w:cstheme="minorBidi"/>
              <w:b w:val="0"/>
              <w:sz w:val="22"/>
              <w:lang w:eastAsia="da-DK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38022476" w:history="1">
            <w:r w:rsidR="00526FA0" w:rsidRPr="005128CD">
              <w:rPr>
                <w:rStyle w:val="Hyperlink"/>
              </w:rPr>
              <w:t>1. Indledning – kort præsentation af retten</w:t>
            </w:r>
            <w:r w:rsidR="00526FA0">
              <w:rPr>
                <w:webHidden/>
              </w:rPr>
              <w:tab/>
            </w:r>
            <w:r w:rsidR="00526FA0">
              <w:rPr>
                <w:webHidden/>
              </w:rPr>
              <w:fldChar w:fldCharType="begin"/>
            </w:r>
            <w:r w:rsidR="00526FA0">
              <w:rPr>
                <w:webHidden/>
              </w:rPr>
              <w:instrText xml:space="preserve"> PAGEREF _Toc38022476 \h </w:instrText>
            </w:r>
            <w:r w:rsidR="00526FA0">
              <w:rPr>
                <w:webHidden/>
              </w:rPr>
            </w:r>
            <w:r w:rsidR="00526FA0">
              <w:rPr>
                <w:webHidden/>
              </w:rPr>
              <w:fldChar w:fldCharType="separate"/>
            </w:r>
            <w:r w:rsidR="00E54196">
              <w:rPr>
                <w:webHidden/>
              </w:rPr>
              <w:t>3</w:t>
            </w:r>
            <w:r w:rsidR="00526FA0">
              <w:rPr>
                <w:webHidden/>
              </w:rPr>
              <w:fldChar w:fldCharType="end"/>
            </w:r>
          </w:hyperlink>
        </w:p>
        <w:p w:rsidR="00526FA0" w:rsidRDefault="00D96ABF">
          <w:pPr>
            <w:pStyle w:val="Indholdsfortegnelse1"/>
            <w:rPr>
              <w:rFonts w:asciiTheme="minorHAnsi" w:eastAsiaTheme="minorEastAsia" w:hAnsiTheme="minorHAnsi" w:cstheme="minorBidi"/>
              <w:b w:val="0"/>
              <w:sz w:val="22"/>
              <w:lang w:eastAsia="da-DK"/>
            </w:rPr>
          </w:pPr>
          <w:hyperlink w:anchor="_Toc38022477" w:history="1">
            <w:r w:rsidR="00526FA0" w:rsidRPr="005128CD">
              <w:rPr>
                <w:rStyle w:val="Hyperlink"/>
              </w:rPr>
              <w:t>2. Bemærkninger til resultater i 2019</w:t>
            </w:r>
            <w:r w:rsidR="00526FA0">
              <w:rPr>
                <w:webHidden/>
              </w:rPr>
              <w:tab/>
            </w:r>
            <w:r w:rsidR="00526FA0">
              <w:rPr>
                <w:webHidden/>
              </w:rPr>
              <w:fldChar w:fldCharType="begin"/>
            </w:r>
            <w:r w:rsidR="00526FA0">
              <w:rPr>
                <w:webHidden/>
              </w:rPr>
              <w:instrText xml:space="preserve"> PAGEREF _Toc38022477 \h </w:instrText>
            </w:r>
            <w:r w:rsidR="00526FA0">
              <w:rPr>
                <w:webHidden/>
              </w:rPr>
            </w:r>
            <w:r w:rsidR="00526FA0">
              <w:rPr>
                <w:webHidden/>
              </w:rPr>
              <w:fldChar w:fldCharType="separate"/>
            </w:r>
            <w:r w:rsidR="00E54196">
              <w:rPr>
                <w:webHidden/>
              </w:rPr>
              <w:t>3</w:t>
            </w:r>
            <w:r w:rsidR="00526FA0">
              <w:rPr>
                <w:webHidden/>
              </w:rPr>
              <w:fldChar w:fldCharType="end"/>
            </w:r>
          </w:hyperlink>
        </w:p>
        <w:p w:rsidR="00526FA0" w:rsidRDefault="00D96ABF">
          <w:pPr>
            <w:pStyle w:val="Indholdsfortegnelse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da-DK"/>
            </w:rPr>
          </w:pPr>
          <w:hyperlink w:anchor="_Toc38022478" w:history="1">
            <w:r w:rsidR="00526FA0" w:rsidRPr="005128CD">
              <w:rPr>
                <w:rStyle w:val="Hyperlink"/>
                <w:noProof/>
              </w:rPr>
              <w:t>2.1: Effektivitet (aktivitet og produktivitet)</w:t>
            </w:r>
            <w:r w:rsidR="00526FA0">
              <w:rPr>
                <w:noProof/>
                <w:webHidden/>
              </w:rPr>
              <w:tab/>
            </w:r>
            <w:r w:rsidR="00526FA0">
              <w:rPr>
                <w:noProof/>
                <w:webHidden/>
              </w:rPr>
              <w:fldChar w:fldCharType="begin"/>
            </w:r>
            <w:r w:rsidR="00526FA0">
              <w:rPr>
                <w:noProof/>
                <w:webHidden/>
              </w:rPr>
              <w:instrText xml:space="preserve"> PAGEREF _Toc38022478 \h </w:instrText>
            </w:r>
            <w:r w:rsidR="00526FA0">
              <w:rPr>
                <w:noProof/>
                <w:webHidden/>
              </w:rPr>
            </w:r>
            <w:r w:rsidR="00526FA0">
              <w:rPr>
                <w:noProof/>
                <w:webHidden/>
              </w:rPr>
              <w:fldChar w:fldCharType="separate"/>
            </w:r>
            <w:r w:rsidR="00E54196">
              <w:rPr>
                <w:noProof/>
                <w:webHidden/>
              </w:rPr>
              <w:t>3</w:t>
            </w:r>
            <w:r w:rsidR="00526FA0">
              <w:rPr>
                <w:noProof/>
                <w:webHidden/>
              </w:rPr>
              <w:fldChar w:fldCharType="end"/>
            </w:r>
          </w:hyperlink>
        </w:p>
        <w:p w:rsidR="00526FA0" w:rsidRDefault="00D96ABF">
          <w:pPr>
            <w:pStyle w:val="Indholdsfortegnelse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da-DK"/>
            </w:rPr>
          </w:pPr>
          <w:hyperlink w:anchor="_Toc38022479" w:history="1">
            <w:r w:rsidR="00526FA0" w:rsidRPr="005128CD">
              <w:rPr>
                <w:rStyle w:val="Hyperlink"/>
                <w:noProof/>
              </w:rPr>
              <w:t>2.2: Sagsbehandlingstider (målopfyldelse og gennemsnitlige sagsbehandlingstider)</w:t>
            </w:r>
            <w:r w:rsidR="00526FA0">
              <w:rPr>
                <w:noProof/>
                <w:webHidden/>
              </w:rPr>
              <w:tab/>
            </w:r>
            <w:r w:rsidR="00526FA0">
              <w:rPr>
                <w:noProof/>
                <w:webHidden/>
              </w:rPr>
              <w:fldChar w:fldCharType="begin"/>
            </w:r>
            <w:r w:rsidR="00526FA0">
              <w:rPr>
                <w:noProof/>
                <w:webHidden/>
              </w:rPr>
              <w:instrText xml:space="preserve"> PAGEREF _Toc38022479 \h </w:instrText>
            </w:r>
            <w:r w:rsidR="00526FA0">
              <w:rPr>
                <w:noProof/>
                <w:webHidden/>
              </w:rPr>
            </w:r>
            <w:r w:rsidR="00526FA0">
              <w:rPr>
                <w:noProof/>
                <w:webHidden/>
              </w:rPr>
              <w:fldChar w:fldCharType="separate"/>
            </w:r>
            <w:r w:rsidR="00E54196">
              <w:rPr>
                <w:noProof/>
                <w:webHidden/>
              </w:rPr>
              <w:t>5</w:t>
            </w:r>
            <w:r w:rsidR="00526FA0">
              <w:rPr>
                <w:noProof/>
                <w:webHidden/>
              </w:rPr>
              <w:fldChar w:fldCharType="end"/>
            </w:r>
          </w:hyperlink>
        </w:p>
        <w:p w:rsidR="00526FA0" w:rsidRDefault="00D96ABF">
          <w:pPr>
            <w:pStyle w:val="Indholdsfortegnelse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da-DK"/>
            </w:rPr>
          </w:pPr>
          <w:hyperlink w:anchor="_Toc38022480" w:history="1">
            <w:r w:rsidR="00526FA0" w:rsidRPr="005128CD">
              <w:rPr>
                <w:rStyle w:val="Hyperlink"/>
                <w:noProof/>
              </w:rPr>
              <w:t>2.3: Målopfyldelse for VVV-sager</w:t>
            </w:r>
            <w:r w:rsidR="00526FA0">
              <w:rPr>
                <w:noProof/>
                <w:webHidden/>
              </w:rPr>
              <w:tab/>
            </w:r>
            <w:r w:rsidR="00526FA0">
              <w:rPr>
                <w:noProof/>
                <w:webHidden/>
              </w:rPr>
              <w:fldChar w:fldCharType="begin"/>
            </w:r>
            <w:r w:rsidR="00526FA0">
              <w:rPr>
                <w:noProof/>
                <w:webHidden/>
              </w:rPr>
              <w:instrText xml:space="preserve"> PAGEREF _Toc38022480 \h </w:instrText>
            </w:r>
            <w:r w:rsidR="00526FA0">
              <w:rPr>
                <w:noProof/>
                <w:webHidden/>
              </w:rPr>
            </w:r>
            <w:r w:rsidR="00526FA0">
              <w:rPr>
                <w:noProof/>
                <w:webHidden/>
              </w:rPr>
              <w:fldChar w:fldCharType="separate"/>
            </w:r>
            <w:r w:rsidR="00E54196">
              <w:rPr>
                <w:noProof/>
                <w:webHidden/>
              </w:rPr>
              <w:t>5</w:t>
            </w:r>
            <w:r w:rsidR="00526FA0">
              <w:rPr>
                <w:noProof/>
                <w:webHidden/>
              </w:rPr>
              <w:fldChar w:fldCharType="end"/>
            </w:r>
          </w:hyperlink>
        </w:p>
        <w:p w:rsidR="00526FA0" w:rsidRDefault="00D96ABF">
          <w:pPr>
            <w:pStyle w:val="Indholdsfortegnelse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da-DK"/>
            </w:rPr>
          </w:pPr>
          <w:hyperlink w:anchor="_Toc38022481" w:history="1">
            <w:r w:rsidR="00526FA0" w:rsidRPr="005128CD">
              <w:rPr>
                <w:rStyle w:val="Hyperlink"/>
                <w:noProof/>
              </w:rPr>
              <w:t>2.4: Udvalgte HR-nøgletal (sygefravær og personaleomsætning mv.)</w:t>
            </w:r>
            <w:r w:rsidR="00526FA0">
              <w:rPr>
                <w:noProof/>
                <w:webHidden/>
              </w:rPr>
              <w:tab/>
            </w:r>
            <w:r w:rsidR="00526FA0">
              <w:rPr>
                <w:noProof/>
                <w:webHidden/>
              </w:rPr>
              <w:fldChar w:fldCharType="begin"/>
            </w:r>
            <w:r w:rsidR="00526FA0">
              <w:rPr>
                <w:noProof/>
                <w:webHidden/>
              </w:rPr>
              <w:instrText xml:space="preserve"> PAGEREF _Toc38022481 \h </w:instrText>
            </w:r>
            <w:r w:rsidR="00526FA0">
              <w:rPr>
                <w:noProof/>
                <w:webHidden/>
              </w:rPr>
            </w:r>
            <w:r w:rsidR="00526FA0">
              <w:rPr>
                <w:noProof/>
                <w:webHidden/>
              </w:rPr>
              <w:fldChar w:fldCharType="separate"/>
            </w:r>
            <w:r w:rsidR="00E54196">
              <w:rPr>
                <w:noProof/>
                <w:webHidden/>
              </w:rPr>
              <w:t>5</w:t>
            </w:r>
            <w:r w:rsidR="00526FA0">
              <w:rPr>
                <w:noProof/>
                <w:webHidden/>
              </w:rPr>
              <w:fldChar w:fldCharType="end"/>
            </w:r>
          </w:hyperlink>
        </w:p>
        <w:p w:rsidR="00526FA0" w:rsidRDefault="00D96ABF">
          <w:pPr>
            <w:pStyle w:val="Indholdsfortegnelse3"/>
            <w:tabs>
              <w:tab w:val="right" w:leader="dot" w:pos="9628"/>
            </w:tabs>
            <w:rPr>
              <w:rFonts w:asciiTheme="minorHAnsi" w:eastAsiaTheme="minorEastAsia" w:hAnsiTheme="minorHAnsi" w:cstheme="minorBidi"/>
              <w:noProof/>
              <w:sz w:val="22"/>
              <w:lang w:eastAsia="da-DK"/>
            </w:rPr>
          </w:pPr>
          <w:hyperlink w:anchor="_Toc38022482" w:history="1">
            <w:r w:rsidR="00526FA0" w:rsidRPr="005128CD">
              <w:rPr>
                <w:rStyle w:val="Hyperlink"/>
                <w:noProof/>
              </w:rPr>
              <w:t>2.5: Eventuelle andre bemærkninger</w:t>
            </w:r>
            <w:r w:rsidR="00526FA0">
              <w:rPr>
                <w:noProof/>
                <w:webHidden/>
              </w:rPr>
              <w:tab/>
            </w:r>
            <w:r w:rsidR="00526FA0">
              <w:rPr>
                <w:noProof/>
                <w:webHidden/>
              </w:rPr>
              <w:fldChar w:fldCharType="begin"/>
            </w:r>
            <w:r w:rsidR="00526FA0">
              <w:rPr>
                <w:noProof/>
                <w:webHidden/>
              </w:rPr>
              <w:instrText xml:space="preserve"> PAGEREF _Toc38022482 \h </w:instrText>
            </w:r>
            <w:r w:rsidR="00526FA0">
              <w:rPr>
                <w:noProof/>
                <w:webHidden/>
              </w:rPr>
            </w:r>
            <w:r w:rsidR="00526FA0">
              <w:rPr>
                <w:noProof/>
                <w:webHidden/>
              </w:rPr>
              <w:fldChar w:fldCharType="separate"/>
            </w:r>
            <w:r w:rsidR="00E54196">
              <w:rPr>
                <w:noProof/>
                <w:webHidden/>
              </w:rPr>
              <w:t>6</w:t>
            </w:r>
            <w:r w:rsidR="00526FA0">
              <w:rPr>
                <w:noProof/>
                <w:webHidden/>
              </w:rPr>
              <w:fldChar w:fldCharType="end"/>
            </w:r>
          </w:hyperlink>
        </w:p>
        <w:p w:rsidR="00526FA0" w:rsidRDefault="00D96ABF">
          <w:pPr>
            <w:pStyle w:val="Indholdsfortegnelse1"/>
            <w:rPr>
              <w:rFonts w:asciiTheme="minorHAnsi" w:eastAsiaTheme="minorEastAsia" w:hAnsiTheme="minorHAnsi" w:cstheme="minorBidi"/>
              <w:b w:val="0"/>
              <w:sz w:val="22"/>
              <w:lang w:eastAsia="da-DK"/>
            </w:rPr>
          </w:pPr>
          <w:hyperlink w:anchor="_Toc38022483" w:history="1">
            <w:r w:rsidR="00526FA0" w:rsidRPr="005128CD">
              <w:rPr>
                <w:rStyle w:val="Hyperlink"/>
              </w:rPr>
              <w:t>3. Udviklingsinitiativer i 2019</w:t>
            </w:r>
            <w:r w:rsidR="00526FA0">
              <w:rPr>
                <w:webHidden/>
              </w:rPr>
              <w:tab/>
            </w:r>
            <w:r w:rsidR="00526FA0">
              <w:rPr>
                <w:webHidden/>
              </w:rPr>
              <w:fldChar w:fldCharType="begin"/>
            </w:r>
            <w:r w:rsidR="00526FA0">
              <w:rPr>
                <w:webHidden/>
              </w:rPr>
              <w:instrText xml:space="preserve"> PAGEREF _Toc38022483 \h </w:instrText>
            </w:r>
            <w:r w:rsidR="00526FA0">
              <w:rPr>
                <w:webHidden/>
              </w:rPr>
            </w:r>
            <w:r w:rsidR="00526FA0">
              <w:rPr>
                <w:webHidden/>
              </w:rPr>
              <w:fldChar w:fldCharType="separate"/>
            </w:r>
            <w:r w:rsidR="00E54196">
              <w:rPr>
                <w:webHidden/>
              </w:rPr>
              <w:t>6</w:t>
            </w:r>
            <w:r w:rsidR="00526FA0">
              <w:rPr>
                <w:webHidden/>
              </w:rPr>
              <w:fldChar w:fldCharType="end"/>
            </w:r>
          </w:hyperlink>
        </w:p>
        <w:p w:rsidR="005D56C9" w:rsidRDefault="005D56C9">
          <w:r>
            <w:rPr>
              <w:b/>
              <w:bCs/>
            </w:rPr>
            <w:fldChar w:fldCharType="end"/>
          </w:r>
        </w:p>
      </w:sdtContent>
    </w:sdt>
    <w:p w:rsidR="00392C3E" w:rsidRDefault="00392C3E">
      <w:pPr>
        <w:spacing w:line="259" w:lineRule="auto"/>
        <w:jc w:val="left"/>
        <w:rPr>
          <w:rFonts w:eastAsiaTheme="majorEastAsia" w:cstheme="majorBidi"/>
          <w:b/>
          <w:sz w:val="32"/>
          <w:szCs w:val="32"/>
        </w:rPr>
      </w:pPr>
    </w:p>
    <w:p w:rsidR="00BF4F2E" w:rsidRDefault="00BF4F2E"/>
    <w:p w:rsidR="00C30130" w:rsidRDefault="00C30130">
      <w:pPr>
        <w:spacing w:line="259" w:lineRule="auto"/>
        <w:jc w:val="left"/>
      </w:pPr>
      <w:bookmarkStart w:id="4" w:name="_Toc530399507"/>
    </w:p>
    <w:p w:rsidR="005D56C9" w:rsidRDefault="005D56C9">
      <w:pPr>
        <w:spacing w:line="259" w:lineRule="auto"/>
        <w:jc w:val="left"/>
      </w:pPr>
    </w:p>
    <w:p w:rsidR="005D56C9" w:rsidRDefault="005D56C9">
      <w:pPr>
        <w:spacing w:line="259" w:lineRule="auto"/>
        <w:jc w:val="left"/>
        <w:rPr>
          <w:rFonts w:eastAsiaTheme="majorEastAsia" w:cstheme="majorBidi"/>
          <w:b/>
          <w:sz w:val="32"/>
          <w:szCs w:val="32"/>
        </w:rPr>
      </w:pPr>
    </w:p>
    <w:p w:rsidR="00F27A9A" w:rsidRPr="00F27A9A" w:rsidRDefault="005D56C9" w:rsidP="00F27A9A">
      <w:pPr>
        <w:spacing w:line="259" w:lineRule="auto"/>
        <w:jc w:val="left"/>
        <w:rPr>
          <w:rFonts w:eastAsiaTheme="majorEastAsia" w:cstheme="majorBidi"/>
          <w:b/>
          <w:sz w:val="32"/>
          <w:szCs w:val="32"/>
        </w:rPr>
      </w:pPr>
      <w:r>
        <w:br w:type="page"/>
      </w:r>
    </w:p>
    <w:p w:rsidR="00B2384E" w:rsidRPr="00B2384E" w:rsidRDefault="00B2384E" w:rsidP="00B2384E">
      <w:pPr>
        <w:pStyle w:val="Overskrift1"/>
      </w:pPr>
      <w:bookmarkStart w:id="5" w:name="_Toc38022476"/>
      <w:r w:rsidRPr="004E6E03">
        <w:lastRenderedPageBreak/>
        <w:t>1. Indledning</w:t>
      </w:r>
      <w:bookmarkEnd w:id="0"/>
      <w:r w:rsidRPr="004E6E03">
        <w:t xml:space="preserve"> – kort præsentation af retten</w:t>
      </w:r>
      <w:bookmarkEnd w:id="1"/>
      <w:bookmarkEnd w:id="3"/>
      <w:bookmarkEnd w:id="4"/>
      <w:bookmarkEnd w:id="5"/>
    </w:p>
    <w:p w:rsidR="00B2384E" w:rsidRDefault="00B2384E" w:rsidP="00B2384E">
      <w:pPr>
        <w:ind w:right="98"/>
        <w:rPr>
          <w:rFonts w:ascii="Garamond" w:hAnsi="Garamond"/>
          <w:color w:val="000080"/>
          <w:szCs w:val="24"/>
        </w:rPr>
      </w:pPr>
    </w:p>
    <w:p w:rsidR="00D66156" w:rsidRDefault="00D66156" w:rsidP="00D6615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Retten i Nykøbing F. dækker Lolland, Guldborgsund og Vordingborg Kommune. </w:t>
      </w:r>
    </w:p>
    <w:p w:rsidR="00D66156" w:rsidRDefault="00D66156" w:rsidP="00D66156">
      <w:pPr>
        <w:pStyle w:val="Default"/>
        <w:rPr>
          <w:rFonts w:ascii="Arial" w:hAnsi="Arial" w:cs="Arial"/>
        </w:rPr>
      </w:pPr>
    </w:p>
    <w:p w:rsidR="00D66156" w:rsidRDefault="00D66156" w:rsidP="00D6615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Domhuset er beliggende i centrum af Nykøbing F., og vi råder tillige over lokaler i Nakskov, hvor der ugentligt afholdes retsmøder. </w:t>
      </w:r>
    </w:p>
    <w:p w:rsidR="00D66156" w:rsidRDefault="00D66156" w:rsidP="00D66156">
      <w:pPr>
        <w:pStyle w:val="Default"/>
        <w:rPr>
          <w:rFonts w:ascii="Arial" w:hAnsi="Arial" w:cs="Arial"/>
        </w:rPr>
      </w:pPr>
    </w:p>
    <w:p w:rsidR="00D66156" w:rsidRDefault="00D66156" w:rsidP="00D6615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Rettens personale har følgende sammensætning: </w:t>
      </w:r>
    </w:p>
    <w:p w:rsidR="00D66156" w:rsidRDefault="00D66156" w:rsidP="00D66156">
      <w:pPr>
        <w:pStyle w:val="Default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1 retspræsident </w:t>
      </w:r>
    </w:p>
    <w:p w:rsidR="00D66156" w:rsidRDefault="00D66156" w:rsidP="00D66156">
      <w:pPr>
        <w:pStyle w:val="Default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7 dommere </w:t>
      </w:r>
    </w:p>
    <w:p w:rsidR="00D66156" w:rsidRDefault="00D66156" w:rsidP="00D66156">
      <w:pPr>
        <w:pStyle w:val="Default"/>
        <w:numPr>
          <w:ilvl w:val="0"/>
          <w:numId w:val="4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Ca. 50 øvrige medarbejdere </w:t>
      </w:r>
    </w:p>
    <w:p w:rsidR="00D66156" w:rsidRDefault="00D66156" w:rsidP="00D66156">
      <w:pPr>
        <w:pStyle w:val="Default"/>
        <w:rPr>
          <w:rFonts w:ascii="Arial" w:hAnsi="Arial" w:cs="Arial"/>
        </w:rPr>
      </w:pPr>
    </w:p>
    <w:p w:rsidR="00D66156" w:rsidRDefault="00D66156" w:rsidP="00D66156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Retskredsen har godt 150.000 indbyggere. </w:t>
      </w:r>
    </w:p>
    <w:p w:rsidR="00D66156" w:rsidRDefault="00D66156" w:rsidP="00D66156">
      <w:pPr>
        <w:pStyle w:val="Default"/>
        <w:rPr>
          <w:rFonts w:ascii="Arial" w:hAnsi="Arial" w:cs="Arial"/>
        </w:rPr>
      </w:pPr>
    </w:p>
    <w:p w:rsidR="00D66156" w:rsidRDefault="00D66156" w:rsidP="00D66156">
      <w:pPr>
        <w:pStyle w:val="Default"/>
        <w:rPr>
          <w:rFonts w:ascii="Arial" w:hAnsi="Arial" w:cs="Arial"/>
        </w:rPr>
      </w:pPr>
    </w:p>
    <w:p w:rsidR="00B2384E" w:rsidRPr="004E6E03" w:rsidRDefault="003B72BD" w:rsidP="00B2384E">
      <w:pPr>
        <w:pStyle w:val="Overskrift1"/>
      </w:pPr>
      <w:bookmarkStart w:id="6" w:name="_Toc530397439"/>
      <w:bookmarkStart w:id="7" w:name="_Toc530398413"/>
      <w:bookmarkStart w:id="8" w:name="_Toc530399508"/>
      <w:bookmarkStart w:id="9" w:name="_Toc38022477"/>
      <w:r>
        <w:t>2. Bemærkninger til r</w:t>
      </w:r>
      <w:r w:rsidR="00B2384E" w:rsidRPr="004E6E03">
        <w:t>esultater i 201</w:t>
      </w:r>
      <w:bookmarkEnd w:id="6"/>
      <w:bookmarkEnd w:id="7"/>
      <w:bookmarkEnd w:id="8"/>
      <w:r w:rsidR="00526FA0">
        <w:t>9</w:t>
      </w:r>
      <w:bookmarkEnd w:id="9"/>
    </w:p>
    <w:p w:rsidR="00B2384E" w:rsidRDefault="00B2384E" w:rsidP="00B2384E">
      <w:pPr>
        <w:pStyle w:val="Bloktekst"/>
        <w:ind w:left="0" w:right="98"/>
        <w:rPr>
          <w:rFonts w:ascii="Garamond" w:hAnsi="Garamond"/>
          <w:color w:val="000080"/>
          <w:szCs w:val="24"/>
          <w:u w:val="single"/>
        </w:rPr>
      </w:pPr>
      <w:bookmarkStart w:id="10" w:name="_Toc196719706"/>
    </w:p>
    <w:p w:rsidR="00A47E99" w:rsidRDefault="003B72BD" w:rsidP="00A47E99">
      <w:pPr>
        <w:pStyle w:val="Overskrift3"/>
      </w:pPr>
      <w:bookmarkStart w:id="11" w:name="_Toc530397440"/>
      <w:bookmarkStart w:id="12" w:name="_Toc530398414"/>
      <w:bookmarkStart w:id="13" w:name="_Toc530399509"/>
      <w:bookmarkStart w:id="14" w:name="_Toc38022478"/>
      <w:r>
        <w:t>2.</w:t>
      </w:r>
      <w:r w:rsidR="00B2384E" w:rsidRPr="004E6E03">
        <w:t>1: Effektivitet (aktivitet og produktivitet</w:t>
      </w:r>
      <w:bookmarkEnd w:id="10"/>
      <w:r w:rsidR="00B2384E" w:rsidRPr="004E6E03">
        <w:t>)</w:t>
      </w:r>
      <w:bookmarkEnd w:id="11"/>
      <w:bookmarkEnd w:id="12"/>
      <w:bookmarkEnd w:id="13"/>
      <w:bookmarkEnd w:id="14"/>
    </w:p>
    <w:p w:rsidR="00610A5C" w:rsidRDefault="00610A5C" w:rsidP="00610A5C"/>
    <w:tbl>
      <w:tblPr>
        <w:tblW w:w="86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83"/>
        <w:gridCol w:w="204"/>
        <w:gridCol w:w="740"/>
        <w:gridCol w:w="780"/>
        <w:gridCol w:w="800"/>
        <w:gridCol w:w="820"/>
        <w:gridCol w:w="190"/>
      </w:tblGrid>
      <w:tr w:rsidR="00A901A4" w:rsidRPr="00A901A4" w:rsidTr="00A901A4">
        <w:trPr>
          <w:trHeight w:val="578"/>
        </w:trPr>
        <w:tc>
          <w:tcPr>
            <w:tcW w:w="5380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B2525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b/>
                <w:bCs/>
                <w:color w:val="FFFFFF"/>
                <w:sz w:val="36"/>
                <w:szCs w:val="36"/>
                <w:lang w:eastAsia="da-DK"/>
              </w:rPr>
              <w:t>ÅRSNØGLETAL 2019</w:t>
            </w:r>
          </w:p>
        </w:tc>
        <w:tc>
          <w:tcPr>
            <w:tcW w:w="7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B2525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FFFFFF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FFFFFF"/>
                <w:sz w:val="22"/>
                <w:lang w:eastAsia="da-DK"/>
              </w:rPr>
              <w:t> 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B2525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FFFFFF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FFFFFF"/>
                <w:sz w:val="22"/>
                <w:lang w:eastAsia="da-DK"/>
              </w:rPr>
              <w:t> </w:t>
            </w:r>
          </w:p>
        </w:tc>
        <w:tc>
          <w:tcPr>
            <w:tcW w:w="8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B2525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FFFFFF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FFFFFF"/>
                <w:sz w:val="22"/>
                <w:lang w:eastAsia="da-DK"/>
              </w:rPr>
              <w:t> 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B2525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FFFFFF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FFFFFF"/>
                <w:sz w:val="22"/>
                <w:lang w:eastAsia="da-DK"/>
              </w:rPr>
              <w:t> </w:t>
            </w:r>
          </w:p>
        </w:tc>
        <w:tc>
          <w:tcPr>
            <w:tcW w:w="1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9B2525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FFFFFF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FFFFFF"/>
                <w:sz w:val="22"/>
                <w:lang w:eastAsia="da-DK"/>
              </w:rPr>
              <w:t> </w:t>
            </w:r>
          </w:p>
        </w:tc>
      </w:tr>
      <w:tr w:rsidR="00A901A4" w:rsidRPr="00A901A4" w:rsidTr="00A901A4">
        <w:trPr>
          <w:trHeight w:val="289"/>
        </w:trPr>
        <w:tc>
          <w:tcPr>
            <w:tcW w:w="5283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B2525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b/>
                <w:bCs/>
                <w:color w:val="FFFFFF"/>
                <w:sz w:val="22"/>
                <w:lang w:eastAsia="da-DK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nil"/>
              <w:right w:val="nil"/>
            </w:tcBorders>
            <w:shd w:val="clear" w:color="000000" w:fill="9B2525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FFFFFF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FFFFFF"/>
                <w:sz w:val="22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9B2525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FFFFFF"/>
                <w:sz w:val="22"/>
                <w:u w:val="single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FFFFFF"/>
                <w:sz w:val="22"/>
                <w:u w:val="single"/>
                <w:lang w:eastAsia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9B2525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FFFFFF"/>
                <w:sz w:val="22"/>
                <w:u w:val="single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FFFFFF"/>
                <w:sz w:val="22"/>
                <w:u w:val="single"/>
                <w:lang w:eastAsia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B2525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FFFFFF"/>
                <w:sz w:val="22"/>
                <w:u w:val="single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FFFFFF"/>
                <w:sz w:val="22"/>
                <w:u w:val="single"/>
                <w:lang w:eastAsia="da-D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9B2525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FFFFFF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FFFFFF"/>
                <w:sz w:val="22"/>
                <w:lang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9B2525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FFFFFF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FFFFFF"/>
                <w:sz w:val="22"/>
                <w:lang w:eastAsia="da-DK"/>
              </w:rPr>
              <w:t> </w:t>
            </w:r>
          </w:p>
        </w:tc>
      </w:tr>
      <w:tr w:rsidR="00A901A4" w:rsidRPr="00A901A4" w:rsidTr="00A901A4">
        <w:trPr>
          <w:trHeight w:val="525"/>
        </w:trPr>
        <w:tc>
          <w:tcPr>
            <w:tcW w:w="5380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B2525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a-DK"/>
              </w:rPr>
              <w:t>Retten i Nykøbing F.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000000" w:fill="9B2525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FFFFFF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FFFFFF"/>
                <w:sz w:val="22"/>
                <w:lang w:eastAsia="da-DK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000000" w:fill="9B2525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FFFFFF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FFFFFF"/>
                <w:sz w:val="22"/>
                <w:lang w:eastAsia="da-DK"/>
              </w:rPr>
              <w:t> </w:t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000000" w:fill="9B2525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FFFFFF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FFFFFF"/>
                <w:sz w:val="22"/>
                <w:lang w:eastAsia="da-DK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000000" w:fill="9B2525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9B2525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FFFFFF"/>
                <w:sz w:val="20"/>
                <w:szCs w:val="20"/>
                <w:lang w:eastAsia="da-DK"/>
              </w:rPr>
              <w:t> </w:t>
            </w:r>
          </w:p>
        </w:tc>
      </w:tr>
      <w:tr w:rsidR="00A901A4" w:rsidRPr="00A901A4" w:rsidTr="00A901A4">
        <w:trPr>
          <w:trHeight w:val="525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B2525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FFFFFF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FFFFFF"/>
                <w:sz w:val="22"/>
                <w:lang w:eastAsia="da-DK"/>
              </w:rPr>
              <w:t> 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2525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b/>
                <w:bCs/>
                <w:color w:val="FFFFFF"/>
                <w:sz w:val="28"/>
                <w:szCs w:val="28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2525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a-DK"/>
              </w:rPr>
              <w:t>2018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2525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b/>
                <w:bCs/>
                <w:color w:val="FFFFFF"/>
                <w:sz w:val="20"/>
                <w:szCs w:val="20"/>
                <w:lang w:eastAsia="da-DK"/>
              </w:rPr>
              <w:t>2019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2525"/>
            <w:hideMark/>
          </w:tcPr>
          <w:p w:rsidR="00A901A4" w:rsidRPr="00A901A4" w:rsidRDefault="00A901A4" w:rsidP="00A90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Gnst. BR 2019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2525"/>
            <w:hideMark/>
          </w:tcPr>
          <w:p w:rsidR="00A901A4" w:rsidRPr="00A901A4" w:rsidRDefault="00A901A4" w:rsidP="00A90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5. bedste 2019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B2525"/>
            <w:hideMark/>
          </w:tcPr>
          <w:p w:rsidR="00A901A4" w:rsidRPr="00A901A4" w:rsidRDefault="00A901A4" w:rsidP="00A901A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b/>
                <w:bCs/>
                <w:color w:val="FFFFFF"/>
                <w:sz w:val="18"/>
                <w:szCs w:val="18"/>
                <w:lang w:eastAsia="da-DK"/>
              </w:rPr>
              <w:t> </w:t>
            </w:r>
          </w:p>
        </w:tc>
      </w:tr>
      <w:tr w:rsidR="00A901A4" w:rsidRPr="00A901A4" w:rsidTr="00A901A4">
        <w:trPr>
          <w:trHeight w:val="300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Samlet produktivitet, retten (indeks)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113,4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110,3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105,1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113,4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 </w:t>
            </w:r>
          </w:p>
        </w:tc>
      </w:tr>
      <w:tr w:rsidR="00A901A4" w:rsidRPr="00A901A4" w:rsidTr="00A901A4">
        <w:trPr>
          <w:trHeight w:val="300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Samlet produktivitet, jurister (indeks)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119,2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117,0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105,1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sz w:val="22"/>
                <w:lang w:eastAsia="da-DK"/>
              </w:rPr>
              <w:t>113,9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 </w:t>
            </w:r>
          </w:p>
        </w:tc>
      </w:tr>
      <w:tr w:rsidR="00A901A4" w:rsidRPr="00A901A4" w:rsidTr="00A901A4">
        <w:trPr>
          <w:trHeight w:val="300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Samlet produktivitet, kontorfunktionærer (indeks)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107,6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104,2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107,7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sz w:val="22"/>
                <w:lang w:eastAsia="da-DK"/>
              </w:rPr>
              <w:t>117,1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 </w:t>
            </w:r>
          </w:p>
        </w:tc>
      </w:tr>
      <w:tr w:rsidR="00A901A4" w:rsidRPr="00A901A4" w:rsidTr="00A901A4">
        <w:trPr>
          <w:trHeight w:val="315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Årsværksandel til generel ledelse og administration (pct.)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17,8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17,0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15,9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 </w:t>
            </w:r>
          </w:p>
        </w:tc>
      </w:tr>
      <w:tr w:rsidR="00A901A4" w:rsidRPr="00A901A4" w:rsidTr="00A901A4">
        <w:trPr>
          <w:trHeight w:val="300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Gnst. sagsbehandlingstid, domsmandssager (dage)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77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100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156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100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 </w:t>
            </w:r>
          </w:p>
        </w:tc>
      </w:tr>
      <w:tr w:rsidR="00A901A4" w:rsidRPr="00A901A4" w:rsidTr="00A901A4">
        <w:trPr>
          <w:trHeight w:val="300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Gnst. sagsbehandlingstid, hovedforhandlet alm. civil sag (dage)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417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420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537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435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 </w:t>
            </w:r>
          </w:p>
        </w:tc>
      </w:tr>
      <w:tr w:rsidR="00A901A4" w:rsidRPr="00A901A4" w:rsidTr="00A901A4">
        <w:trPr>
          <w:trHeight w:val="300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Gnst. sagsbehandlingstid, almindelig fogedsag (dage)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70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62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 </w:t>
            </w:r>
          </w:p>
        </w:tc>
      </w:tr>
      <w:tr w:rsidR="00A901A4" w:rsidRPr="00A901A4" w:rsidTr="00A901A4">
        <w:trPr>
          <w:trHeight w:val="300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Gnst. sagsbehandlingstid, boudlæg (dage)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37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35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49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41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 </w:t>
            </w:r>
          </w:p>
        </w:tc>
      </w:tr>
      <w:tr w:rsidR="00A901A4" w:rsidRPr="00A901A4" w:rsidTr="00A901A4">
        <w:trPr>
          <w:trHeight w:val="300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Målopfyldelse, voldssager 37-dages frist (procent)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72,5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64,0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56,5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69,3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 </w:t>
            </w:r>
          </w:p>
        </w:tc>
      </w:tr>
      <w:tr w:rsidR="00A901A4" w:rsidRPr="00A901A4" w:rsidTr="00A901A4">
        <w:trPr>
          <w:trHeight w:val="315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Målopfyldelse, voldtægtssager 37-dages frist (procent)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85,7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92,3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59,6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88,9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 </w:t>
            </w:r>
          </w:p>
        </w:tc>
      </w:tr>
      <w:tr w:rsidR="00A901A4" w:rsidRPr="00A901A4" w:rsidTr="00A901A4">
        <w:trPr>
          <w:trHeight w:val="300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Gnst. sygefravær pr. medarbejder (dage pr. år)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6,6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13,7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10,0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8,0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 </w:t>
            </w:r>
          </w:p>
        </w:tc>
      </w:tr>
      <w:tr w:rsidR="00A901A4" w:rsidRPr="00A901A4" w:rsidTr="00A901A4">
        <w:trPr>
          <w:trHeight w:val="300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Personaleomsætningsprocent (procent)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9,0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2,0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7,8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 </w:t>
            </w:r>
          </w:p>
        </w:tc>
      </w:tr>
      <w:tr w:rsidR="00A901A4" w:rsidRPr="00A901A4" w:rsidTr="00A901A4">
        <w:trPr>
          <w:trHeight w:val="300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Samlet årsværksforbrug, retten (årsværk)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47,4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49,6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61,3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 </w:t>
            </w:r>
          </w:p>
        </w:tc>
      </w:tr>
      <w:tr w:rsidR="00A901A4" w:rsidRPr="00A901A4" w:rsidTr="00A901A4">
        <w:trPr>
          <w:trHeight w:val="300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Samlet årsværksforbrug, jurister (årsværk)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12,7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13,1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17,6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 </w:t>
            </w:r>
          </w:p>
        </w:tc>
      </w:tr>
      <w:tr w:rsidR="00A901A4" w:rsidRPr="00A901A4" w:rsidTr="00A901A4">
        <w:trPr>
          <w:trHeight w:val="300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Samlet årsværksforbrug, kontorfunktionærer (årsværk)</w:t>
            </w:r>
          </w:p>
        </w:tc>
        <w:tc>
          <w:tcPr>
            <w:tcW w:w="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30,5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31,4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34,3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 </w:t>
            </w:r>
          </w:p>
        </w:tc>
      </w:tr>
      <w:tr w:rsidR="00A901A4" w:rsidRPr="00A901A4" w:rsidTr="00A901A4">
        <w:trPr>
          <w:trHeight w:val="315"/>
        </w:trPr>
        <w:tc>
          <w:tcPr>
            <w:tcW w:w="528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Samlet lønsumsforbrug (mio. kr.)</w:t>
            </w:r>
          </w:p>
        </w:tc>
        <w:tc>
          <w:tcPr>
            <w:tcW w:w="9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da-DK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25,1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26,5</w:t>
            </w:r>
          </w:p>
        </w:tc>
        <w:tc>
          <w:tcPr>
            <w:tcW w:w="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34,2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000000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D9D9D9"/>
            <w:noWrap/>
            <w:vAlign w:val="bottom"/>
            <w:hideMark/>
          </w:tcPr>
          <w:p w:rsidR="00A901A4" w:rsidRPr="00A901A4" w:rsidRDefault="00A901A4" w:rsidP="00A901A4">
            <w:pPr>
              <w:spacing w:after="0" w:line="240" w:lineRule="auto"/>
              <w:jc w:val="left"/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</w:pPr>
            <w:r w:rsidRPr="00A901A4">
              <w:rPr>
                <w:rFonts w:ascii="Calibri" w:eastAsia="Times New Roman" w:hAnsi="Calibri" w:cs="Calibri"/>
                <w:color w:val="000000"/>
                <w:sz w:val="22"/>
                <w:lang w:eastAsia="da-DK"/>
              </w:rPr>
              <w:t> </w:t>
            </w:r>
          </w:p>
        </w:tc>
      </w:tr>
    </w:tbl>
    <w:p w:rsidR="00610A5C" w:rsidRPr="00610A5C" w:rsidRDefault="00610A5C" w:rsidP="00610A5C"/>
    <w:p w:rsidR="00A47E99" w:rsidRDefault="00546225" w:rsidP="00A47E99">
      <w:r>
        <w:t xml:space="preserve">Som det ses af ovenstående skema, er den samlede produktivitet faldet lidt i forhold til 2018, både for rettens jurister og for kontorfunktionærerne. Samlet set er rettens produktivitet fortsat høj, og retten ligger pænt placeret blandt landets retter. </w:t>
      </w:r>
      <w:r w:rsidR="00245443">
        <w:t xml:space="preserve">Et </w:t>
      </w:r>
      <w:r w:rsidR="00523FE6">
        <w:t>forøget</w:t>
      </w:r>
      <w:r w:rsidR="00245443">
        <w:t xml:space="preserve"> sygefravær </w:t>
      </w:r>
      <w:r>
        <w:t>har haft negativ betydning for sagsafvklingen</w:t>
      </w:r>
      <w:r w:rsidR="00AA21F9">
        <w:t xml:space="preserve">, ligesom en generel justering af sagsvægtene for domstolene har haft en vis mindre negativ betydning ved opgørelse af den samlede produktivitet. </w:t>
      </w:r>
      <w:r w:rsidR="000410A6">
        <w:t>Retten har af saglige og ressourcemæssige grunde generelt tilrettelagt arbejdsfordelingen mellem rettens jurister og kontorfunktionærer således, at kontorpersonalet yder e</w:t>
      </w:r>
      <w:r w:rsidR="00523FE6">
        <w:t>n meget betydelig indsats</w:t>
      </w:r>
      <w:r w:rsidR="000410A6">
        <w:t xml:space="preserve"> i forhold til for klargøring og efterbehandling, således at jursiterne i højere grad kan fokusere på at træffe afgørelse</w:t>
      </w:r>
      <w:r w:rsidR="00523FE6">
        <w:t>r</w:t>
      </w:r>
      <w:r w:rsidR="000410A6">
        <w:t xml:space="preserve">, hvilket kan aflæses i den umiddelbart skæve fordeling i effektiviteten mellem de to grupper.  </w:t>
      </w:r>
    </w:p>
    <w:p w:rsidR="000410A6" w:rsidRDefault="000410A6" w:rsidP="00A47E99"/>
    <w:p w:rsidR="001A109F" w:rsidRDefault="001A109F" w:rsidP="001A109F">
      <w:pPr>
        <w:rPr>
          <w:b/>
          <w:szCs w:val="24"/>
        </w:rPr>
      </w:pPr>
      <w:r>
        <w:rPr>
          <w:b/>
          <w:szCs w:val="24"/>
        </w:rPr>
        <w:t xml:space="preserve">Aktivitet: </w:t>
      </w:r>
      <w:r w:rsidRPr="00C9401B">
        <w:rPr>
          <w:b/>
          <w:szCs w:val="24"/>
        </w:rPr>
        <w:t xml:space="preserve">Statistik </w:t>
      </w:r>
      <w:r>
        <w:rPr>
          <w:b/>
          <w:szCs w:val="24"/>
        </w:rPr>
        <w:t xml:space="preserve">over </w:t>
      </w:r>
      <w:r w:rsidRPr="00C9401B">
        <w:rPr>
          <w:b/>
          <w:szCs w:val="24"/>
        </w:rPr>
        <w:t>modtagne sager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9"/>
        <w:gridCol w:w="951"/>
        <w:gridCol w:w="976"/>
        <w:gridCol w:w="951"/>
        <w:gridCol w:w="951"/>
        <w:gridCol w:w="951"/>
      </w:tblGrid>
      <w:tr w:rsidR="00CD5B2C" w:rsidTr="00CD5B2C">
        <w:tc>
          <w:tcPr>
            <w:tcW w:w="1829" w:type="dxa"/>
          </w:tcPr>
          <w:p w:rsidR="00CD5B2C" w:rsidRDefault="00CD5B2C" w:rsidP="008F0217"/>
          <w:p w:rsidR="00CD5B2C" w:rsidRDefault="00CD5B2C" w:rsidP="008F0217">
            <w:r>
              <w:t>Sagstype</w:t>
            </w:r>
          </w:p>
        </w:tc>
        <w:tc>
          <w:tcPr>
            <w:tcW w:w="951" w:type="dxa"/>
          </w:tcPr>
          <w:p w:rsidR="00CD5B2C" w:rsidRDefault="00CD5B2C" w:rsidP="008F0217">
            <w:pPr>
              <w:rPr>
                <w:b/>
              </w:rPr>
            </w:pPr>
          </w:p>
          <w:p w:rsidR="00CD5B2C" w:rsidRDefault="00CD5B2C" w:rsidP="008F0217">
            <w:pPr>
              <w:rPr>
                <w:b/>
              </w:rPr>
            </w:pPr>
            <w:r>
              <w:rPr>
                <w:b/>
              </w:rPr>
              <w:t>2019</w:t>
            </w:r>
          </w:p>
        </w:tc>
        <w:tc>
          <w:tcPr>
            <w:tcW w:w="976" w:type="dxa"/>
          </w:tcPr>
          <w:p w:rsidR="00CD5B2C" w:rsidRDefault="00CD5B2C" w:rsidP="008F0217">
            <w:pPr>
              <w:rPr>
                <w:b/>
              </w:rPr>
            </w:pPr>
          </w:p>
          <w:p w:rsidR="00CD5B2C" w:rsidRDefault="00CD5B2C" w:rsidP="008F0217">
            <w:pPr>
              <w:rPr>
                <w:b/>
              </w:rPr>
            </w:pPr>
            <w:r>
              <w:rPr>
                <w:b/>
              </w:rPr>
              <w:t>2018</w:t>
            </w:r>
          </w:p>
        </w:tc>
        <w:tc>
          <w:tcPr>
            <w:tcW w:w="951" w:type="dxa"/>
          </w:tcPr>
          <w:p w:rsidR="00CD5B2C" w:rsidRDefault="00CD5B2C" w:rsidP="008F0217">
            <w:pPr>
              <w:rPr>
                <w:b/>
              </w:rPr>
            </w:pPr>
          </w:p>
          <w:p w:rsidR="00CD5B2C" w:rsidRDefault="00CD5B2C" w:rsidP="008F0217">
            <w:pPr>
              <w:rPr>
                <w:b/>
              </w:rPr>
            </w:pPr>
            <w:r>
              <w:rPr>
                <w:b/>
              </w:rPr>
              <w:t>2017</w:t>
            </w:r>
          </w:p>
        </w:tc>
        <w:tc>
          <w:tcPr>
            <w:tcW w:w="951" w:type="dxa"/>
          </w:tcPr>
          <w:p w:rsidR="00CD5B2C" w:rsidRDefault="00CD5B2C" w:rsidP="008F0217">
            <w:pPr>
              <w:rPr>
                <w:b/>
              </w:rPr>
            </w:pPr>
          </w:p>
          <w:p w:rsidR="00CD5B2C" w:rsidRDefault="00CD5B2C" w:rsidP="008F0217">
            <w:pPr>
              <w:rPr>
                <w:b/>
              </w:rPr>
            </w:pPr>
            <w:r>
              <w:rPr>
                <w:b/>
              </w:rPr>
              <w:t>2016</w:t>
            </w:r>
          </w:p>
        </w:tc>
        <w:tc>
          <w:tcPr>
            <w:tcW w:w="951" w:type="dxa"/>
          </w:tcPr>
          <w:p w:rsidR="00CD5B2C" w:rsidRDefault="00CD5B2C" w:rsidP="008F0217">
            <w:pPr>
              <w:rPr>
                <w:b/>
              </w:rPr>
            </w:pPr>
          </w:p>
          <w:p w:rsidR="00CD5B2C" w:rsidRDefault="00CD5B2C" w:rsidP="008F0217">
            <w:pPr>
              <w:rPr>
                <w:b/>
              </w:rPr>
            </w:pPr>
            <w:r>
              <w:rPr>
                <w:b/>
              </w:rPr>
              <w:t>2015</w:t>
            </w:r>
          </w:p>
        </w:tc>
      </w:tr>
      <w:tr w:rsidR="00CD5B2C" w:rsidTr="00CD5B2C">
        <w:tc>
          <w:tcPr>
            <w:tcW w:w="1829" w:type="dxa"/>
          </w:tcPr>
          <w:p w:rsidR="00CD5B2C" w:rsidRDefault="00CD5B2C" w:rsidP="008F0217"/>
          <w:p w:rsidR="00CD5B2C" w:rsidRDefault="00CD5B2C" w:rsidP="008F0217">
            <w:r>
              <w:t>Fogedsager</w:t>
            </w:r>
          </w:p>
        </w:tc>
        <w:tc>
          <w:tcPr>
            <w:tcW w:w="951" w:type="dxa"/>
          </w:tcPr>
          <w:p w:rsidR="00CD5B2C" w:rsidRDefault="00CD5B2C" w:rsidP="008F0217"/>
          <w:p w:rsidR="00CD5B2C" w:rsidRDefault="00CD5B2C" w:rsidP="008F0217">
            <w:r>
              <w:t>12.579</w:t>
            </w:r>
          </w:p>
        </w:tc>
        <w:tc>
          <w:tcPr>
            <w:tcW w:w="976" w:type="dxa"/>
          </w:tcPr>
          <w:p w:rsidR="00CD5B2C" w:rsidRDefault="00CD5B2C" w:rsidP="008F0217"/>
          <w:p w:rsidR="00CD5B2C" w:rsidRDefault="00CD5B2C" w:rsidP="008F0217">
            <w:r>
              <w:t>12.606</w:t>
            </w:r>
          </w:p>
        </w:tc>
        <w:tc>
          <w:tcPr>
            <w:tcW w:w="951" w:type="dxa"/>
          </w:tcPr>
          <w:p w:rsidR="00CD5B2C" w:rsidRDefault="00CD5B2C" w:rsidP="008F0217"/>
          <w:p w:rsidR="00CD5B2C" w:rsidRDefault="00CD5B2C" w:rsidP="008F0217">
            <w:r>
              <w:t>13.041</w:t>
            </w:r>
          </w:p>
        </w:tc>
        <w:tc>
          <w:tcPr>
            <w:tcW w:w="951" w:type="dxa"/>
          </w:tcPr>
          <w:p w:rsidR="00CD5B2C" w:rsidRDefault="00CD5B2C" w:rsidP="008F0217"/>
          <w:p w:rsidR="00CD5B2C" w:rsidRDefault="00CD5B2C" w:rsidP="008F0217">
            <w:r>
              <w:t>11.644</w:t>
            </w:r>
          </w:p>
        </w:tc>
        <w:tc>
          <w:tcPr>
            <w:tcW w:w="951" w:type="dxa"/>
          </w:tcPr>
          <w:p w:rsidR="00CD5B2C" w:rsidRDefault="00CD5B2C" w:rsidP="008F0217"/>
          <w:p w:rsidR="00CD5B2C" w:rsidRDefault="00CD5B2C" w:rsidP="008F0217">
            <w:r>
              <w:t>11.804</w:t>
            </w:r>
          </w:p>
        </w:tc>
      </w:tr>
      <w:tr w:rsidR="00CD5B2C" w:rsidTr="00CD5B2C">
        <w:tc>
          <w:tcPr>
            <w:tcW w:w="1829" w:type="dxa"/>
          </w:tcPr>
          <w:p w:rsidR="00CD5B2C" w:rsidRDefault="00CD5B2C" w:rsidP="008F0217"/>
          <w:p w:rsidR="00CD5B2C" w:rsidRDefault="00CD5B2C" w:rsidP="008F0217">
            <w:r>
              <w:t>Civile sager</w:t>
            </w:r>
          </w:p>
        </w:tc>
        <w:tc>
          <w:tcPr>
            <w:tcW w:w="951" w:type="dxa"/>
          </w:tcPr>
          <w:p w:rsidR="00CD5B2C" w:rsidRDefault="00CD5B2C" w:rsidP="008F0217"/>
          <w:p w:rsidR="00CD5B2C" w:rsidRDefault="00CD5B2C" w:rsidP="008F0217">
            <w:r>
              <w:t>1.290</w:t>
            </w:r>
          </w:p>
        </w:tc>
        <w:tc>
          <w:tcPr>
            <w:tcW w:w="976" w:type="dxa"/>
          </w:tcPr>
          <w:p w:rsidR="00CD5B2C" w:rsidRDefault="00CD5B2C" w:rsidP="008F0217"/>
          <w:p w:rsidR="00CD5B2C" w:rsidRDefault="00CD5B2C" w:rsidP="008F0217">
            <w:r>
              <w:t>1.156</w:t>
            </w:r>
          </w:p>
        </w:tc>
        <w:tc>
          <w:tcPr>
            <w:tcW w:w="951" w:type="dxa"/>
          </w:tcPr>
          <w:p w:rsidR="00CD5B2C" w:rsidRDefault="00CD5B2C" w:rsidP="008F0217"/>
          <w:p w:rsidR="00CD5B2C" w:rsidRDefault="00CD5B2C" w:rsidP="008F0217">
            <w:r>
              <w:t>1.182</w:t>
            </w:r>
          </w:p>
        </w:tc>
        <w:tc>
          <w:tcPr>
            <w:tcW w:w="951" w:type="dxa"/>
          </w:tcPr>
          <w:p w:rsidR="00CD5B2C" w:rsidRDefault="00CD5B2C" w:rsidP="008F0217"/>
          <w:p w:rsidR="00CD5B2C" w:rsidRDefault="00CD5B2C" w:rsidP="008F0217">
            <w:r>
              <w:t>1.237</w:t>
            </w:r>
          </w:p>
        </w:tc>
        <w:tc>
          <w:tcPr>
            <w:tcW w:w="951" w:type="dxa"/>
          </w:tcPr>
          <w:p w:rsidR="00CD5B2C" w:rsidRDefault="00CD5B2C" w:rsidP="008F0217"/>
          <w:p w:rsidR="00CD5B2C" w:rsidRDefault="00CD5B2C" w:rsidP="008F0217">
            <w:r>
              <w:t>1.300</w:t>
            </w:r>
          </w:p>
        </w:tc>
      </w:tr>
      <w:tr w:rsidR="00CD5B2C" w:rsidTr="00CD5B2C">
        <w:tc>
          <w:tcPr>
            <w:tcW w:w="1829" w:type="dxa"/>
          </w:tcPr>
          <w:p w:rsidR="00CD5B2C" w:rsidRDefault="00CD5B2C" w:rsidP="008F0217"/>
          <w:p w:rsidR="00CD5B2C" w:rsidRDefault="00CD5B2C" w:rsidP="008F0217">
            <w:r>
              <w:t>Straffesager</w:t>
            </w:r>
          </w:p>
        </w:tc>
        <w:tc>
          <w:tcPr>
            <w:tcW w:w="951" w:type="dxa"/>
          </w:tcPr>
          <w:p w:rsidR="00CD5B2C" w:rsidRDefault="00CD5B2C" w:rsidP="008F0217"/>
          <w:p w:rsidR="00CD5B2C" w:rsidRDefault="00CD5B2C" w:rsidP="008F0217">
            <w:r>
              <w:t>7.625</w:t>
            </w:r>
          </w:p>
        </w:tc>
        <w:tc>
          <w:tcPr>
            <w:tcW w:w="976" w:type="dxa"/>
          </w:tcPr>
          <w:p w:rsidR="00CD5B2C" w:rsidRDefault="00CD5B2C" w:rsidP="008F0217"/>
          <w:p w:rsidR="00CD5B2C" w:rsidRDefault="00CD5B2C" w:rsidP="008F0217">
            <w:r>
              <w:t>8.300</w:t>
            </w:r>
          </w:p>
        </w:tc>
        <w:tc>
          <w:tcPr>
            <w:tcW w:w="951" w:type="dxa"/>
          </w:tcPr>
          <w:p w:rsidR="00CD5B2C" w:rsidRDefault="00CD5B2C" w:rsidP="008F0217"/>
          <w:p w:rsidR="00CD5B2C" w:rsidRDefault="00CD5B2C" w:rsidP="008F0217">
            <w:r>
              <w:t>6.808</w:t>
            </w:r>
          </w:p>
        </w:tc>
        <w:tc>
          <w:tcPr>
            <w:tcW w:w="951" w:type="dxa"/>
          </w:tcPr>
          <w:p w:rsidR="00CD5B2C" w:rsidRDefault="00CD5B2C" w:rsidP="008F0217"/>
          <w:p w:rsidR="00CD5B2C" w:rsidRDefault="00CD5B2C" w:rsidP="008F0217">
            <w:r>
              <w:t>6.514</w:t>
            </w:r>
          </w:p>
        </w:tc>
        <w:tc>
          <w:tcPr>
            <w:tcW w:w="951" w:type="dxa"/>
          </w:tcPr>
          <w:p w:rsidR="00CD5B2C" w:rsidRDefault="00CD5B2C" w:rsidP="008F0217"/>
          <w:p w:rsidR="00CD5B2C" w:rsidRDefault="00CD5B2C" w:rsidP="008F0217">
            <w:r>
              <w:t>6.193</w:t>
            </w:r>
          </w:p>
        </w:tc>
      </w:tr>
      <w:tr w:rsidR="00CD5B2C" w:rsidTr="00CD5B2C">
        <w:tc>
          <w:tcPr>
            <w:tcW w:w="1829" w:type="dxa"/>
          </w:tcPr>
          <w:p w:rsidR="00CD5B2C" w:rsidRDefault="00CD5B2C" w:rsidP="008F0217"/>
          <w:p w:rsidR="00CD5B2C" w:rsidRDefault="00CD5B2C" w:rsidP="008F0217">
            <w:r>
              <w:t>Tvangsauktioner</w:t>
            </w:r>
          </w:p>
        </w:tc>
        <w:tc>
          <w:tcPr>
            <w:tcW w:w="951" w:type="dxa"/>
          </w:tcPr>
          <w:p w:rsidR="00CD5B2C" w:rsidRDefault="00CD5B2C" w:rsidP="008F0217"/>
          <w:p w:rsidR="00CD5B2C" w:rsidRDefault="00CD5B2C" w:rsidP="008F0217">
            <w:r>
              <w:t>1.094</w:t>
            </w:r>
          </w:p>
        </w:tc>
        <w:tc>
          <w:tcPr>
            <w:tcW w:w="976" w:type="dxa"/>
          </w:tcPr>
          <w:p w:rsidR="00CD5B2C" w:rsidRDefault="00CD5B2C" w:rsidP="008F0217"/>
          <w:p w:rsidR="00CD5B2C" w:rsidRDefault="00CD5B2C" w:rsidP="008F0217">
            <w:r>
              <w:t>1.392</w:t>
            </w:r>
          </w:p>
        </w:tc>
        <w:tc>
          <w:tcPr>
            <w:tcW w:w="951" w:type="dxa"/>
          </w:tcPr>
          <w:p w:rsidR="00CD5B2C" w:rsidRDefault="00CD5B2C" w:rsidP="008F0217"/>
          <w:p w:rsidR="00CD5B2C" w:rsidRDefault="00CD5B2C" w:rsidP="008F0217">
            <w:r>
              <w:t>843</w:t>
            </w:r>
          </w:p>
        </w:tc>
        <w:tc>
          <w:tcPr>
            <w:tcW w:w="951" w:type="dxa"/>
          </w:tcPr>
          <w:p w:rsidR="00CD5B2C" w:rsidRDefault="00CD5B2C" w:rsidP="008F0217"/>
          <w:p w:rsidR="00CD5B2C" w:rsidRDefault="00CD5B2C" w:rsidP="008F0217">
            <w:r>
              <w:t>662</w:t>
            </w:r>
          </w:p>
        </w:tc>
        <w:tc>
          <w:tcPr>
            <w:tcW w:w="951" w:type="dxa"/>
          </w:tcPr>
          <w:p w:rsidR="00CD5B2C" w:rsidRDefault="00CD5B2C" w:rsidP="008F0217"/>
          <w:p w:rsidR="00CD5B2C" w:rsidRDefault="00CD5B2C" w:rsidP="008F0217">
            <w:r>
              <w:t>864</w:t>
            </w:r>
          </w:p>
        </w:tc>
      </w:tr>
      <w:tr w:rsidR="00CD5B2C" w:rsidTr="00CD5B2C">
        <w:tc>
          <w:tcPr>
            <w:tcW w:w="1829" w:type="dxa"/>
          </w:tcPr>
          <w:p w:rsidR="00CD5B2C" w:rsidRDefault="00CD5B2C" w:rsidP="008F0217"/>
          <w:p w:rsidR="00CD5B2C" w:rsidRDefault="00CD5B2C" w:rsidP="008F0217">
            <w:r>
              <w:t>Dødsboer</w:t>
            </w:r>
          </w:p>
        </w:tc>
        <w:tc>
          <w:tcPr>
            <w:tcW w:w="951" w:type="dxa"/>
          </w:tcPr>
          <w:p w:rsidR="00CD5B2C" w:rsidRDefault="00CD5B2C" w:rsidP="008F0217"/>
          <w:p w:rsidR="00CD5B2C" w:rsidRDefault="00CD5B2C" w:rsidP="008F0217">
            <w:r>
              <w:t>2.153</w:t>
            </w:r>
          </w:p>
        </w:tc>
        <w:tc>
          <w:tcPr>
            <w:tcW w:w="976" w:type="dxa"/>
          </w:tcPr>
          <w:p w:rsidR="00CD5B2C" w:rsidRDefault="00CD5B2C" w:rsidP="008F0217"/>
          <w:p w:rsidR="00CD5B2C" w:rsidRDefault="00CD5B2C" w:rsidP="008F0217">
            <w:r>
              <w:t>2.209</w:t>
            </w:r>
          </w:p>
        </w:tc>
        <w:tc>
          <w:tcPr>
            <w:tcW w:w="951" w:type="dxa"/>
          </w:tcPr>
          <w:p w:rsidR="00CD5B2C" w:rsidRDefault="00CD5B2C" w:rsidP="008F0217"/>
          <w:p w:rsidR="00CD5B2C" w:rsidRDefault="00CD5B2C" w:rsidP="008F0217">
            <w:r>
              <w:t>2.194</w:t>
            </w:r>
          </w:p>
        </w:tc>
        <w:tc>
          <w:tcPr>
            <w:tcW w:w="951" w:type="dxa"/>
          </w:tcPr>
          <w:p w:rsidR="00CD5B2C" w:rsidRDefault="00CD5B2C" w:rsidP="008F0217"/>
          <w:p w:rsidR="00CD5B2C" w:rsidRDefault="00CD5B2C" w:rsidP="008F0217">
            <w:r>
              <w:t>2.173</w:t>
            </w:r>
          </w:p>
        </w:tc>
        <w:tc>
          <w:tcPr>
            <w:tcW w:w="951" w:type="dxa"/>
          </w:tcPr>
          <w:p w:rsidR="00CD5B2C" w:rsidRDefault="00CD5B2C" w:rsidP="008F0217"/>
          <w:p w:rsidR="00CD5B2C" w:rsidRDefault="00CD5B2C" w:rsidP="008F0217">
            <w:r>
              <w:t>2.192</w:t>
            </w:r>
          </w:p>
        </w:tc>
      </w:tr>
      <w:tr w:rsidR="00CD5B2C" w:rsidTr="00CD5B2C">
        <w:tc>
          <w:tcPr>
            <w:tcW w:w="1829" w:type="dxa"/>
          </w:tcPr>
          <w:p w:rsidR="00CD5B2C" w:rsidRDefault="00CD5B2C" w:rsidP="008F0217"/>
          <w:p w:rsidR="00CD5B2C" w:rsidRDefault="00CD5B2C" w:rsidP="008F0217">
            <w:r>
              <w:t>Insolvenser</w:t>
            </w:r>
          </w:p>
        </w:tc>
        <w:tc>
          <w:tcPr>
            <w:tcW w:w="951" w:type="dxa"/>
          </w:tcPr>
          <w:p w:rsidR="00CD5B2C" w:rsidRDefault="00CD5B2C" w:rsidP="008F0217"/>
          <w:p w:rsidR="00CD5B2C" w:rsidRDefault="00CD5B2C" w:rsidP="008F0217">
            <w:r>
              <w:t>569</w:t>
            </w:r>
          </w:p>
        </w:tc>
        <w:tc>
          <w:tcPr>
            <w:tcW w:w="976" w:type="dxa"/>
          </w:tcPr>
          <w:p w:rsidR="00CD5B2C" w:rsidRDefault="00CD5B2C" w:rsidP="008F0217"/>
          <w:p w:rsidR="00CD5B2C" w:rsidRDefault="00CD5B2C" w:rsidP="008F0217">
            <w:r>
              <w:t>669</w:t>
            </w:r>
          </w:p>
        </w:tc>
        <w:tc>
          <w:tcPr>
            <w:tcW w:w="951" w:type="dxa"/>
          </w:tcPr>
          <w:p w:rsidR="00CD5B2C" w:rsidRDefault="00CD5B2C" w:rsidP="008F0217"/>
          <w:p w:rsidR="00CD5B2C" w:rsidRDefault="00CD5B2C" w:rsidP="008F0217">
            <w:r>
              <w:t>547</w:t>
            </w:r>
          </w:p>
        </w:tc>
        <w:tc>
          <w:tcPr>
            <w:tcW w:w="951" w:type="dxa"/>
          </w:tcPr>
          <w:p w:rsidR="00CD5B2C" w:rsidRDefault="00CD5B2C" w:rsidP="008F0217"/>
          <w:p w:rsidR="00CD5B2C" w:rsidRDefault="00CD5B2C" w:rsidP="008F0217">
            <w:r>
              <w:t>560</w:t>
            </w:r>
          </w:p>
        </w:tc>
        <w:tc>
          <w:tcPr>
            <w:tcW w:w="951" w:type="dxa"/>
          </w:tcPr>
          <w:p w:rsidR="00CD5B2C" w:rsidRDefault="00CD5B2C" w:rsidP="008F0217"/>
          <w:p w:rsidR="00CD5B2C" w:rsidRDefault="00CD5B2C" w:rsidP="008F0217">
            <w:r>
              <w:t>508</w:t>
            </w:r>
          </w:p>
        </w:tc>
      </w:tr>
      <w:tr w:rsidR="00CD5B2C" w:rsidTr="00CD5B2C">
        <w:tc>
          <w:tcPr>
            <w:tcW w:w="1829" w:type="dxa"/>
          </w:tcPr>
          <w:p w:rsidR="00CD5B2C" w:rsidRDefault="00CD5B2C" w:rsidP="008F0217">
            <w:r>
              <w:t>Notarial-</w:t>
            </w:r>
          </w:p>
          <w:p w:rsidR="00CD5B2C" w:rsidRDefault="00CD5B2C" w:rsidP="008F0217">
            <w:r>
              <w:t>forretninger</w:t>
            </w:r>
          </w:p>
          <w:p w:rsidR="00CD5B2C" w:rsidRDefault="00CD5B2C" w:rsidP="008F0217"/>
        </w:tc>
        <w:tc>
          <w:tcPr>
            <w:tcW w:w="951" w:type="dxa"/>
          </w:tcPr>
          <w:p w:rsidR="00CD5B2C" w:rsidRDefault="00CD5B2C" w:rsidP="008F0217"/>
          <w:p w:rsidR="00CD5B2C" w:rsidRDefault="00CD5B2C" w:rsidP="008F0217">
            <w:r>
              <w:t>1.651</w:t>
            </w:r>
          </w:p>
        </w:tc>
        <w:tc>
          <w:tcPr>
            <w:tcW w:w="976" w:type="dxa"/>
          </w:tcPr>
          <w:p w:rsidR="00CD5B2C" w:rsidRDefault="00CD5B2C" w:rsidP="008F0217"/>
          <w:p w:rsidR="00CD5B2C" w:rsidRDefault="00CD5B2C" w:rsidP="008F0217">
            <w:r>
              <w:t>1.528</w:t>
            </w:r>
          </w:p>
        </w:tc>
        <w:tc>
          <w:tcPr>
            <w:tcW w:w="951" w:type="dxa"/>
          </w:tcPr>
          <w:p w:rsidR="00CD5B2C" w:rsidRDefault="00CD5B2C" w:rsidP="008F0217"/>
          <w:p w:rsidR="00CD5B2C" w:rsidRDefault="00CD5B2C" w:rsidP="008F0217">
            <w:r>
              <w:t>1.136</w:t>
            </w:r>
          </w:p>
        </w:tc>
        <w:tc>
          <w:tcPr>
            <w:tcW w:w="951" w:type="dxa"/>
          </w:tcPr>
          <w:p w:rsidR="00CD5B2C" w:rsidRDefault="00CD5B2C" w:rsidP="008F0217"/>
          <w:p w:rsidR="00CD5B2C" w:rsidRDefault="00CD5B2C" w:rsidP="008F0217">
            <w:r>
              <w:t>928</w:t>
            </w:r>
          </w:p>
        </w:tc>
        <w:tc>
          <w:tcPr>
            <w:tcW w:w="951" w:type="dxa"/>
          </w:tcPr>
          <w:p w:rsidR="00CD5B2C" w:rsidRDefault="00CD5B2C" w:rsidP="008F0217"/>
          <w:p w:rsidR="00CD5B2C" w:rsidRDefault="00CD5B2C" w:rsidP="008F0217">
            <w:r>
              <w:t>917</w:t>
            </w:r>
          </w:p>
        </w:tc>
      </w:tr>
    </w:tbl>
    <w:p w:rsidR="001A109F" w:rsidRDefault="001A109F" w:rsidP="001A109F"/>
    <w:p w:rsidR="001A109F" w:rsidRDefault="001A109F" w:rsidP="001A109F">
      <w:r>
        <w:t>Som det ses af ovenstående skema, har retten</w:t>
      </w:r>
      <w:r w:rsidR="00CD5B2C">
        <w:t xml:space="preserve"> i 2019 kun haft mindre udsving i antallet af modtagne </w:t>
      </w:r>
      <w:r w:rsidR="008F2F92">
        <w:t xml:space="preserve">sager </w:t>
      </w:r>
      <w:r w:rsidR="00CD5B2C">
        <w:t>set i forhold til 2018. Straffesager og tvangsauktioner er de områder, hvor der har været</w:t>
      </w:r>
      <w:r w:rsidR="0049723C">
        <w:t xml:space="preserve"> størst ændring, og på disse områder har antallet været faldende. Antallet af notarialforretninger har i de seneste år været stødt stigende.</w:t>
      </w:r>
      <w:r w:rsidR="00CD5B2C">
        <w:t xml:space="preserve"> </w:t>
      </w:r>
    </w:p>
    <w:p w:rsidR="001A109F" w:rsidRPr="00A47E99" w:rsidRDefault="001A109F" w:rsidP="00A47E99"/>
    <w:p w:rsidR="00B2384E" w:rsidRDefault="003B72BD" w:rsidP="00B2384E">
      <w:pPr>
        <w:pStyle w:val="Overskrift3"/>
      </w:pPr>
      <w:bookmarkStart w:id="15" w:name="_Toc530397441"/>
      <w:bookmarkStart w:id="16" w:name="_Toc530398415"/>
      <w:bookmarkStart w:id="17" w:name="_Toc530399510"/>
      <w:bookmarkStart w:id="18" w:name="_Toc38022479"/>
      <w:r>
        <w:t>2.</w:t>
      </w:r>
      <w:r w:rsidR="00B2384E" w:rsidRPr="004E6E03">
        <w:t>2: Sagsbehandlingstid</w:t>
      </w:r>
      <w:r w:rsidR="00F0594E">
        <w:t>er</w:t>
      </w:r>
      <w:r w:rsidR="00B2384E" w:rsidRPr="004E6E03">
        <w:t xml:space="preserve"> (målopfylde</w:t>
      </w:r>
      <w:r w:rsidR="00B2384E">
        <w:t>lse og gennemsnitlig</w:t>
      </w:r>
      <w:r w:rsidR="001422A7">
        <w:t>e</w:t>
      </w:r>
      <w:r w:rsidR="00B2384E">
        <w:t xml:space="preserve"> sagsbehand</w:t>
      </w:r>
      <w:r w:rsidR="00B2384E" w:rsidRPr="004E6E03">
        <w:t>lingstid</w:t>
      </w:r>
      <w:r w:rsidR="001422A7">
        <w:t>er</w:t>
      </w:r>
      <w:r w:rsidR="00B2384E">
        <w:t>)</w:t>
      </w:r>
      <w:bookmarkEnd w:id="15"/>
      <w:bookmarkEnd w:id="16"/>
      <w:bookmarkEnd w:id="17"/>
      <w:bookmarkEnd w:id="18"/>
    </w:p>
    <w:p w:rsidR="00A47E99" w:rsidRDefault="00A47E99" w:rsidP="00A47E99"/>
    <w:p w:rsidR="00B755B6" w:rsidRDefault="001A109F" w:rsidP="001A109F">
      <w:r>
        <w:t xml:space="preserve">Rettens sagsbehandlingstider er fortsat relativt korte, og både </w:t>
      </w:r>
      <w:r w:rsidR="00523FE6">
        <w:t xml:space="preserve">på </w:t>
      </w:r>
      <w:r>
        <w:t>civil</w:t>
      </w:r>
      <w:r w:rsidR="00523FE6">
        <w:t>-</w:t>
      </w:r>
      <w:r>
        <w:t>, straffe</w:t>
      </w:r>
      <w:r w:rsidR="00523FE6">
        <w:t>-</w:t>
      </w:r>
      <w:r>
        <w:t xml:space="preserve"> og </w:t>
      </w:r>
      <w:r w:rsidR="00523FE6">
        <w:t>skiftesagsområdet</w:t>
      </w:r>
      <w:r>
        <w:t xml:space="preserve"> har retten nogle af landets korteste sagsbehandlingstider. </w:t>
      </w:r>
      <w:r w:rsidR="00523FE6">
        <w:t>På</w:t>
      </w:r>
      <w:r>
        <w:t xml:space="preserve"> straffesagsområdet er </w:t>
      </w:r>
      <w:r w:rsidR="00E54196">
        <w:t>sagsbehandlingstiderne</w:t>
      </w:r>
      <w:r>
        <w:t xml:space="preserve"> steget en del, hvilket navnlig </w:t>
      </w:r>
      <w:r w:rsidR="00523FE6">
        <w:t xml:space="preserve">skyldes </w:t>
      </w:r>
      <w:r w:rsidR="00E54196">
        <w:t>vakancer</w:t>
      </w:r>
      <w:r w:rsidR="00523FE6">
        <w:t>,</w:t>
      </w:r>
      <w:r w:rsidR="00B755B6">
        <w:t xml:space="preserve"> langtidssygdom blandt rettens jurister</w:t>
      </w:r>
      <w:r w:rsidR="00523FE6">
        <w:t xml:space="preserve"> og anden sygdom blandt de ansatte</w:t>
      </w:r>
      <w:r w:rsidR="00B755B6">
        <w:t>.</w:t>
      </w:r>
    </w:p>
    <w:p w:rsidR="00B755B6" w:rsidRDefault="00B755B6" w:rsidP="001A109F"/>
    <w:p w:rsidR="001A109F" w:rsidRDefault="00B755B6" w:rsidP="001A109F">
      <w:r>
        <w:t xml:space="preserve">Retten opfylder på alle områder </w:t>
      </w:r>
      <w:r w:rsidR="001A109F">
        <w:t>målsætninger</w:t>
      </w:r>
      <w:r>
        <w:t>ne opstillet af Domstolsstyrelsens bestyrelse.</w:t>
      </w:r>
    </w:p>
    <w:p w:rsidR="001A109F" w:rsidRPr="00A47E99" w:rsidRDefault="001A109F" w:rsidP="00A47E99">
      <w:r>
        <w:t xml:space="preserve"> </w:t>
      </w:r>
    </w:p>
    <w:p w:rsidR="00B2384E" w:rsidRDefault="003B72BD" w:rsidP="00B2384E">
      <w:pPr>
        <w:pStyle w:val="Overskrift3"/>
      </w:pPr>
      <w:bookmarkStart w:id="19" w:name="_Toc196719708"/>
      <w:bookmarkStart w:id="20" w:name="_Toc530397442"/>
      <w:bookmarkStart w:id="21" w:name="_Toc530398416"/>
      <w:bookmarkStart w:id="22" w:name="_Toc530399511"/>
      <w:bookmarkStart w:id="23" w:name="_Toc38022480"/>
      <w:r>
        <w:t>2.</w:t>
      </w:r>
      <w:r w:rsidR="00B2384E" w:rsidRPr="004E6E03">
        <w:t xml:space="preserve">3: </w:t>
      </w:r>
      <w:bookmarkEnd w:id="19"/>
      <w:r w:rsidR="00943612">
        <w:t>Målopfyldelse for</w:t>
      </w:r>
      <w:r w:rsidR="00A47E99">
        <w:t xml:space="preserve"> </w:t>
      </w:r>
      <w:bookmarkEnd w:id="20"/>
      <w:r w:rsidR="00B74AD9">
        <w:t>VVV-sager</w:t>
      </w:r>
      <w:bookmarkEnd w:id="21"/>
      <w:bookmarkEnd w:id="22"/>
      <w:r w:rsidR="00CC1AD9">
        <w:rPr>
          <w:rStyle w:val="Fodnotehenvisning"/>
        </w:rPr>
        <w:footnoteReference w:id="1"/>
      </w:r>
      <w:bookmarkEnd w:id="23"/>
    </w:p>
    <w:p w:rsidR="00A47E99" w:rsidRDefault="00A47E99" w:rsidP="00A47E99"/>
    <w:p w:rsidR="00561182" w:rsidRDefault="00561182" w:rsidP="00561182">
      <w:r>
        <w:t xml:space="preserve">Igen i år </w:t>
      </w:r>
      <w:r w:rsidR="00523FE6">
        <w:t>er</w:t>
      </w:r>
      <w:r>
        <w:t xml:space="preserve"> m</w:t>
      </w:r>
      <w:r w:rsidR="00B755B6">
        <w:t xml:space="preserve">ålopfyldelsen for behandling af VVV-sagerne </w:t>
      </w:r>
      <w:r>
        <w:t xml:space="preserve">(vold, voldtægt og våben) </w:t>
      </w:r>
      <w:r w:rsidR="00B755B6">
        <w:t>ved embedet overordnet set særdeles tilfredsstillende</w:t>
      </w:r>
      <w:r>
        <w:t>.</w:t>
      </w:r>
      <w:r w:rsidR="00B755B6">
        <w:t xml:space="preserve"> </w:t>
      </w:r>
      <w:r>
        <w:t>Målopfyldelsen er faldet lidt for så vidt angår voldssagerne, men steget lidt for så vidt angår vold</w:t>
      </w:r>
      <w:r w:rsidR="008F2F92">
        <w:t>tægtssager</w:t>
      </w:r>
      <w:r>
        <w:t xml:space="preserve">. Også her har </w:t>
      </w:r>
      <w:r w:rsidR="00E54196">
        <w:t>vakancer</w:t>
      </w:r>
      <w:r>
        <w:t xml:space="preserve"> og langtidssygdom blandt rettens jurister haft negativ betydning.</w:t>
      </w:r>
    </w:p>
    <w:p w:rsidR="00B755B6" w:rsidRPr="00A47E99" w:rsidRDefault="00561182" w:rsidP="00A47E99">
      <w:r>
        <w:t xml:space="preserve">  </w:t>
      </w:r>
      <w:r w:rsidR="00B755B6">
        <w:t xml:space="preserve"> </w:t>
      </w:r>
    </w:p>
    <w:p w:rsidR="00B2384E" w:rsidRDefault="003B72BD" w:rsidP="00B2384E">
      <w:pPr>
        <w:pStyle w:val="Overskrift3"/>
      </w:pPr>
      <w:bookmarkStart w:id="24" w:name="_Toc530397444"/>
      <w:bookmarkStart w:id="25" w:name="_Toc530398417"/>
      <w:bookmarkStart w:id="26" w:name="_Toc530399512"/>
      <w:bookmarkStart w:id="27" w:name="_Toc38022481"/>
      <w:r>
        <w:t>2.</w:t>
      </w:r>
      <w:r w:rsidR="00BC3666">
        <w:t>4</w:t>
      </w:r>
      <w:r w:rsidR="00B2384E" w:rsidRPr="004E6E03">
        <w:t xml:space="preserve">: </w:t>
      </w:r>
      <w:r w:rsidR="00625806">
        <w:t>U</w:t>
      </w:r>
      <w:r w:rsidR="00B2384E" w:rsidRPr="004E6E03">
        <w:t>dvalgte HR-nøgletal</w:t>
      </w:r>
      <w:bookmarkEnd w:id="24"/>
      <w:r w:rsidR="00911533">
        <w:t xml:space="preserve"> (sygefravær</w:t>
      </w:r>
      <w:r w:rsidR="00625806">
        <w:t xml:space="preserve"> og personaleomsætning</w:t>
      </w:r>
      <w:r w:rsidR="00911533">
        <w:t xml:space="preserve"> mv.)</w:t>
      </w:r>
      <w:bookmarkEnd w:id="25"/>
      <w:bookmarkEnd w:id="26"/>
      <w:bookmarkEnd w:id="27"/>
    </w:p>
    <w:p w:rsidR="00C35D52" w:rsidRDefault="00C35D52" w:rsidP="00C35D52"/>
    <w:p w:rsidR="00561182" w:rsidRDefault="00523FE6" w:rsidP="00561182">
      <w:r>
        <w:t>A</w:t>
      </w:r>
      <w:r w:rsidR="00561182">
        <w:t>ntal</w:t>
      </w:r>
      <w:r>
        <w:t xml:space="preserve">let af </w:t>
      </w:r>
      <w:r w:rsidR="00561182">
        <w:t>sygedage pr. medarbejder er i 2019 steget til 13,7, hvilket svarer til en fordobling. Sygefraværet var meget lavt i 2018</w:t>
      </w:r>
      <w:r w:rsidR="002377C1">
        <w:t>, og stigningen skyldes navnlig flere langtidssygemeldinger. Årsag</w:t>
      </w:r>
      <w:r w:rsidR="00E54196">
        <w:t>erne</w:t>
      </w:r>
      <w:r w:rsidR="002377C1">
        <w:t xml:space="preserve"> til </w:t>
      </w:r>
      <w:r w:rsidR="00E54196">
        <w:t>sygemeldingerne</w:t>
      </w:r>
      <w:r w:rsidR="002377C1">
        <w:t xml:space="preserve"> har været meget </w:t>
      </w:r>
      <w:r w:rsidR="00E54196">
        <w:t>forskelligartede</w:t>
      </w:r>
      <w:r w:rsidR="002377C1">
        <w:t>. Der er ikke noget</w:t>
      </w:r>
      <w:r>
        <w:t>,</w:t>
      </w:r>
      <w:r w:rsidR="002377C1">
        <w:t xml:space="preserve"> som tyder på, at sygemeldingerne har nogen sammenhæng med det </w:t>
      </w:r>
      <w:r w:rsidR="00561182">
        <w:t>psykisk</w:t>
      </w:r>
      <w:r w:rsidR="00CD5B2C">
        <w:t>e</w:t>
      </w:r>
      <w:r w:rsidR="00561182">
        <w:t xml:space="preserve"> arbejdsmiljø </w:t>
      </w:r>
      <w:r>
        <w:t>ved</w:t>
      </w:r>
      <w:r w:rsidR="002377C1">
        <w:t xml:space="preserve"> retten, der traditionelt har været prioriteret højt på trods af skrappe økonomiske rammer og dermed </w:t>
      </w:r>
      <w:r w:rsidR="00561182">
        <w:t>begrænsede muligheder for at tilpasse antallet af medarbejdere.</w:t>
      </w:r>
      <w:r w:rsidR="002377C1">
        <w:t xml:space="preserve"> Et fald i pers</w:t>
      </w:r>
      <w:r w:rsidR="00E54196">
        <w:t>o</w:t>
      </w:r>
      <w:r w:rsidR="002377C1">
        <w:t xml:space="preserve">naleomsætningen fra 9 % til et uhørt lavt niveau i 2019 på 2 % </w:t>
      </w:r>
      <w:r w:rsidR="006307CD">
        <w:t xml:space="preserve">underbygger </w:t>
      </w:r>
      <w:r>
        <w:t>denne vurdering.</w:t>
      </w:r>
    </w:p>
    <w:p w:rsidR="00561182" w:rsidRDefault="00561182" w:rsidP="00C35D52"/>
    <w:p w:rsidR="00C35D52" w:rsidRDefault="003B72BD" w:rsidP="00C35D52">
      <w:pPr>
        <w:pStyle w:val="Overskrift3"/>
      </w:pPr>
      <w:bookmarkStart w:id="28" w:name="_Toc38022482"/>
      <w:r>
        <w:t>2.</w:t>
      </w:r>
      <w:r w:rsidR="00C35D52" w:rsidRPr="00C35D52">
        <w:t>5: Eventuel</w:t>
      </w:r>
      <w:r w:rsidR="00625806">
        <w:t xml:space="preserve">le andre </w:t>
      </w:r>
      <w:r w:rsidR="00DD27F9">
        <w:t>bemærkninger</w:t>
      </w:r>
      <w:bookmarkEnd w:id="28"/>
    </w:p>
    <w:p w:rsidR="006307CD" w:rsidRDefault="006307CD" w:rsidP="006307CD"/>
    <w:p w:rsidR="006307CD" w:rsidRPr="006431C8" w:rsidRDefault="006307CD" w:rsidP="006307CD">
      <w:pPr>
        <w:spacing w:after="0"/>
        <w:rPr>
          <w:rFonts w:cs="Arial"/>
        </w:rPr>
      </w:pPr>
      <w:r>
        <w:t xml:space="preserve">Retten har i 2019 arbejdet med Danmarks Domstoles nye strategi for 2019-2022. </w:t>
      </w:r>
      <w:r w:rsidRPr="006431C8">
        <w:rPr>
          <w:rFonts w:cs="Arial"/>
        </w:rPr>
        <w:t>Retten</w:t>
      </w:r>
      <w:r>
        <w:rPr>
          <w:rFonts w:cs="Arial"/>
        </w:rPr>
        <w:t xml:space="preserve">s ledelse </w:t>
      </w:r>
      <w:r w:rsidRPr="006431C8">
        <w:rPr>
          <w:rFonts w:cs="Arial"/>
        </w:rPr>
        <w:t xml:space="preserve">har </w:t>
      </w:r>
      <w:r>
        <w:rPr>
          <w:rFonts w:cs="Arial"/>
        </w:rPr>
        <w:t xml:space="preserve">deltaget i en workshop om </w:t>
      </w:r>
      <w:r w:rsidR="00F4648F">
        <w:rPr>
          <w:rFonts w:cs="Arial"/>
        </w:rPr>
        <w:t xml:space="preserve">den nye </w:t>
      </w:r>
      <w:r w:rsidR="00E54196">
        <w:rPr>
          <w:rFonts w:cs="Arial"/>
        </w:rPr>
        <w:t>strategi</w:t>
      </w:r>
      <w:r w:rsidR="00F4648F">
        <w:rPr>
          <w:rFonts w:cs="Arial"/>
        </w:rPr>
        <w:t>, og i efteråret holdt retten en temadag for alle medarbejdere om strategien. Blandt strategiens 4 mål (brugerfokus, kort</w:t>
      </w:r>
      <w:r w:rsidR="00E54196">
        <w:rPr>
          <w:rFonts w:cs="Arial"/>
        </w:rPr>
        <w:t>e</w:t>
      </w:r>
      <w:r w:rsidR="00F4648F">
        <w:rPr>
          <w:rFonts w:cs="Arial"/>
        </w:rPr>
        <w:t xml:space="preserve"> sa</w:t>
      </w:r>
      <w:r w:rsidR="00E54196">
        <w:rPr>
          <w:rFonts w:cs="Arial"/>
        </w:rPr>
        <w:t>g</w:t>
      </w:r>
      <w:r w:rsidR="00F4648F">
        <w:rPr>
          <w:rFonts w:cs="Arial"/>
        </w:rPr>
        <w:t xml:space="preserve">sbehandlingstider, ensartethed samt kvalitet og effektivitet) blev det valgt at </w:t>
      </w:r>
      <w:r>
        <w:rPr>
          <w:rFonts w:cs="Arial"/>
        </w:rPr>
        <w:t xml:space="preserve">prioritere </w:t>
      </w:r>
      <w:r w:rsidRPr="006431C8">
        <w:rPr>
          <w:rFonts w:cs="Arial"/>
        </w:rPr>
        <w:t>brugerfokus som det overordnede mål</w:t>
      </w:r>
      <w:r w:rsidR="00F4648F">
        <w:rPr>
          <w:rFonts w:cs="Arial"/>
        </w:rPr>
        <w:t xml:space="preserve"> for retten</w:t>
      </w:r>
      <w:r w:rsidRPr="006431C8">
        <w:rPr>
          <w:rFonts w:cs="Arial"/>
        </w:rPr>
        <w:t xml:space="preserve">. Brugerfokus </w:t>
      </w:r>
      <w:r>
        <w:rPr>
          <w:rFonts w:cs="Arial"/>
        </w:rPr>
        <w:t>skal</w:t>
      </w:r>
      <w:r w:rsidRPr="006431C8">
        <w:rPr>
          <w:rFonts w:cs="Arial"/>
        </w:rPr>
        <w:t xml:space="preserve"> </w:t>
      </w:r>
      <w:r w:rsidR="00F4648F">
        <w:rPr>
          <w:rFonts w:cs="Arial"/>
        </w:rPr>
        <w:t xml:space="preserve">derfor </w:t>
      </w:r>
      <w:r w:rsidRPr="006431C8">
        <w:rPr>
          <w:rFonts w:cs="Arial"/>
        </w:rPr>
        <w:t xml:space="preserve">prioriteres i alle rettens afdelinger – både i sagsbehandlingen og for så vidt angår rettens rammer og faciliteter. </w:t>
      </w:r>
      <w:r>
        <w:rPr>
          <w:rFonts w:cs="Arial"/>
        </w:rPr>
        <w:t>H</w:t>
      </w:r>
      <w:r w:rsidRPr="006431C8">
        <w:rPr>
          <w:rFonts w:cs="Arial"/>
        </w:rPr>
        <w:t xml:space="preserve">ver </w:t>
      </w:r>
      <w:r>
        <w:rPr>
          <w:rFonts w:cs="Arial"/>
        </w:rPr>
        <w:t xml:space="preserve">af rettens </w:t>
      </w:r>
      <w:r w:rsidRPr="006431C8">
        <w:rPr>
          <w:rFonts w:cs="Arial"/>
        </w:rPr>
        <w:t>afdeling</w:t>
      </w:r>
      <w:r>
        <w:rPr>
          <w:rFonts w:cs="Arial"/>
        </w:rPr>
        <w:t xml:space="preserve">er </w:t>
      </w:r>
      <w:r w:rsidR="00F4648F">
        <w:rPr>
          <w:rFonts w:cs="Arial"/>
        </w:rPr>
        <w:t>skal</w:t>
      </w:r>
      <w:r w:rsidRPr="006431C8">
        <w:rPr>
          <w:rFonts w:cs="Arial"/>
        </w:rPr>
        <w:t xml:space="preserve"> arbejde med </w:t>
      </w:r>
      <w:r>
        <w:rPr>
          <w:rFonts w:cs="Arial"/>
        </w:rPr>
        <w:t>brugerfokus, så</w:t>
      </w:r>
      <w:r w:rsidR="00E54196">
        <w:rPr>
          <w:rFonts w:cs="Arial"/>
        </w:rPr>
        <w:t xml:space="preserve"> </w:t>
      </w:r>
      <w:r>
        <w:rPr>
          <w:rFonts w:cs="Arial"/>
        </w:rPr>
        <w:t>prioritering</w:t>
      </w:r>
      <w:r w:rsidR="00E54196">
        <w:rPr>
          <w:rFonts w:cs="Arial"/>
        </w:rPr>
        <w:t>en</w:t>
      </w:r>
      <w:r w:rsidRPr="006431C8">
        <w:rPr>
          <w:rFonts w:cs="Arial"/>
        </w:rPr>
        <w:t xml:space="preserve"> </w:t>
      </w:r>
      <w:r>
        <w:rPr>
          <w:rFonts w:cs="Arial"/>
        </w:rPr>
        <w:t xml:space="preserve">giver sig udslag </w:t>
      </w:r>
      <w:r w:rsidRPr="006431C8">
        <w:rPr>
          <w:rFonts w:cs="Arial"/>
        </w:rPr>
        <w:t xml:space="preserve">hos brugeren. </w:t>
      </w:r>
      <w:r w:rsidR="00F4648F">
        <w:rPr>
          <w:rFonts w:cs="Arial"/>
        </w:rPr>
        <w:t xml:space="preserve">Konkrete initiativer vil blive iværksat i løbet af 2021. </w:t>
      </w:r>
    </w:p>
    <w:p w:rsidR="006307CD" w:rsidRDefault="006307CD" w:rsidP="006307CD"/>
    <w:p w:rsidR="004F6E95" w:rsidRDefault="004F6E95" w:rsidP="004F6E95">
      <w:r>
        <w:t xml:space="preserve">Retten deltog i Folkemødet på Bornholm, hvor vi gennemførte et rollespil om notarforretninger og orienterede besøgende om retternes arbejde. </w:t>
      </w:r>
    </w:p>
    <w:p w:rsidR="004F6E95" w:rsidRDefault="004F6E95" w:rsidP="004F6E95"/>
    <w:p w:rsidR="004F6E95" w:rsidRDefault="004F6E95" w:rsidP="004F6E95">
      <w:r>
        <w:t xml:space="preserve">I efteråret holdt retten en række informationsmøder </w:t>
      </w:r>
      <w:r w:rsidR="00523FE6">
        <w:t>for</w:t>
      </w:r>
      <w:r>
        <w:t xml:space="preserve"> nye domsmænd og nævninger, der </w:t>
      </w:r>
      <w:r w:rsidR="00523FE6">
        <w:t xml:space="preserve">med virkning fra den </w:t>
      </w:r>
      <w:r>
        <w:t xml:space="preserve">1. januar 2020 </w:t>
      </w:r>
      <w:r w:rsidR="00523FE6">
        <w:t xml:space="preserve">blev udmeldt for </w:t>
      </w:r>
      <w:r>
        <w:t>en ny 4-årlig periode. På møde</w:t>
      </w:r>
      <w:r w:rsidR="00523FE6">
        <w:t>rne</w:t>
      </w:r>
      <w:r>
        <w:t xml:space="preserve"> orienterede flere af rettens dommere om indholdet af lægdommernes arbejde</w:t>
      </w:r>
      <w:r w:rsidR="00523FE6">
        <w:t>,</w:t>
      </w:r>
      <w:r>
        <w:t xml:space="preserve"> og der blev gennemført rundvisninger i rettens bygninger.</w:t>
      </w:r>
    </w:p>
    <w:p w:rsidR="004F6E95" w:rsidRDefault="004F6E95" w:rsidP="004F6E95"/>
    <w:p w:rsidR="004F6E95" w:rsidRDefault="004F6E95" w:rsidP="004F6E95">
      <w:r>
        <w:t xml:space="preserve">Retten har i løbet af året gennemført en række møder med </w:t>
      </w:r>
      <w:r w:rsidR="00523FE6">
        <w:t xml:space="preserve">de </w:t>
      </w:r>
      <w:r>
        <w:t xml:space="preserve">professionelle samarbejdspartnere, herunder retskredsens advokater, anklagemyndigheden, Kriminalforsorgen, </w:t>
      </w:r>
      <w:r w:rsidR="009564F7">
        <w:t xml:space="preserve">Storstrøms Fængsel, </w:t>
      </w:r>
      <w:r>
        <w:t xml:space="preserve">Familieretshuset og </w:t>
      </w:r>
      <w:r w:rsidR="009564F7">
        <w:t>flere andre retter</w:t>
      </w:r>
      <w:r w:rsidR="00523FE6">
        <w:t xml:space="preserve"> for at styrke samarbejdet omkring en effektiv sagsafvikling på et kvalitetsmæssigt højt niveau.</w:t>
      </w:r>
      <w:r w:rsidR="009564F7">
        <w:t xml:space="preserve"> </w:t>
      </w:r>
    </w:p>
    <w:p w:rsidR="004F6E95" w:rsidRDefault="004F6E95" w:rsidP="006307CD"/>
    <w:p w:rsidR="00D66156" w:rsidRDefault="00B2384E" w:rsidP="00D66156">
      <w:pPr>
        <w:pStyle w:val="Overskrift1"/>
      </w:pPr>
      <w:bookmarkStart w:id="29" w:name="_Toc530397446"/>
      <w:bookmarkStart w:id="30" w:name="_Toc530398418"/>
      <w:bookmarkStart w:id="31" w:name="_Toc530399513"/>
      <w:bookmarkStart w:id="32" w:name="_Toc38022483"/>
      <w:r>
        <w:t>3</w:t>
      </w:r>
      <w:r w:rsidRPr="004E6E03">
        <w:t>. Udviklings</w:t>
      </w:r>
      <w:r w:rsidR="000E485F">
        <w:t>initiativer</w:t>
      </w:r>
      <w:r w:rsidRPr="004E6E03">
        <w:t xml:space="preserve"> i 20</w:t>
      </w:r>
      <w:bookmarkEnd w:id="29"/>
      <w:bookmarkEnd w:id="30"/>
      <w:bookmarkEnd w:id="31"/>
      <w:bookmarkEnd w:id="32"/>
      <w:r w:rsidR="009564F7">
        <w:t>20</w:t>
      </w:r>
    </w:p>
    <w:p w:rsidR="00D66156" w:rsidRDefault="00D66156" w:rsidP="00D66156"/>
    <w:p w:rsidR="009564F7" w:rsidRDefault="009564F7" w:rsidP="00D66156">
      <w:r>
        <w:t xml:space="preserve">Retten vil i 2020 have fokus på at gennemføre en række initiativer til virkeliggørelse af Danmarks Domstoles strategi for 2019-2022. Rettens handlingsplan for 2020 er udfærdiget således, at der for hver enkelt afdeling er planlagt konkrete initiativer, der skal </w:t>
      </w:r>
      <w:r w:rsidR="00E54196">
        <w:t>virkeliggøre</w:t>
      </w:r>
      <w:r>
        <w:t xml:space="preserve"> målsætningen om </w:t>
      </w:r>
      <w:r w:rsidR="00BE1E24">
        <w:t>brugerfokus.</w:t>
      </w:r>
    </w:p>
    <w:p w:rsidR="00BE1E24" w:rsidRDefault="00BE1E24" w:rsidP="00D66156"/>
    <w:p w:rsidR="00BE1E24" w:rsidRDefault="00BE1E24" w:rsidP="00D66156">
      <w:r>
        <w:t xml:space="preserve">På tidspunktet for udfærdigelse af nærværende årsberetning er retterne netop genåbnet efter at have været lukket ned i en periode på 6 uger som følge af Corona pandemien. Meget af det planlagte for 2020 vil derfor blive udskudt, idet fokus – for rettens ledelse og øvrige </w:t>
      </w:r>
      <w:r w:rsidR="00E54196">
        <w:lastRenderedPageBreak/>
        <w:t>medarbejdere</w:t>
      </w:r>
      <w:r>
        <w:t xml:space="preserve"> – vil </w:t>
      </w:r>
      <w:r w:rsidR="00E54196">
        <w:t xml:space="preserve">være </w:t>
      </w:r>
      <w:r w:rsidR="00D30257">
        <w:t xml:space="preserve">på </w:t>
      </w:r>
      <w:r>
        <w:t xml:space="preserve">at afvikle den </w:t>
      </w:r>
      <w:r w:rsidR="00E54196">
        <w:t>sagspukkel</w:t>
      </w:r>
      <w:r>
        <w:t xml:space="preserve">, som nedlukningen af domstolene har ført </w:t>
      </w:r>
      <w:r w:rsidR="00D30257">
        <w:t>til, i overensstemmelse med de sundhedsfaglige retningslinjer</w:t>
      </w:r>
      <w:r>
        <w:t xml:space="preserve">. Vi ser med </w:t>
      </w:r>
      <w:r w:rsidR="00E54196">
        <w:t>fortrøstning</w:t>
      </w:r>
      <w:r>
        <w:t xml:space="preserve"> fremad, men det er i skrivende stund endnu for tidligt at vurdere i hvilket omfang, det vil lykkes</w:t>
      </w:r>
      <w:r w:rsidR="00D30257">
        <w:t xml:space="preserve">. Det er for tiden ikke muligt at afvikle alle sagstyper, navnlig ikke større straffesager, og det må forventes, at </w:t>
      </w:r>
      <w:r>
        <w:t xml:space="preserve">de sundhedsmæssige retningslinjer </w:t>
      </w:r>
      <w:r w:rsidR="00D30257">
        <w:t>indebærer</w:t>
      </w:r>
      <w:r>
        <w:t xml:space="preserve">, at der ikke vil kunne afvikles lige så mange sager som </w:t>
      </w:r>
      <w:r w:rsidR="00D30257">
        <w:t>under n</w:t>
      </w:r>
      <w:r>
        <w:t>ormal</w:t>
      </w:r>
      <w:r w:rsidR="00D30257">
        <w:t>e forhold</w:t>
      </w:r>
      <w:r>
        <w:t xml:space="preserve">. </w:t>
      </w:r>
      <w:r w:rsidR="00E54196">
        <w:t>Desuden</w:t>
      </w:r>
      <w:r>
        <w:t xml:space="preserve"> må det forventes, at</w:t>
      </w:r>
      <w:r w:rsidR="00D30257">
        <w:t xml:space="preserve"> eventuel forøget</w:t>
      </w:r>
      <w:r>
        <w:t xml:space="preserve"> sygdom blandt rettens aktører</w:t>
      </w:r>
      <w:r w:rsidR="00D30257">
        <w:t>,</w:t>
      </w:r>
      <w:r>
        <w:t xml:space="preserve"> vil kunne få </w:t>
      </w:r>
      <w:r w:rsidR="00E54196">
        <w:t>indvirkning</w:t>
      </w:r>
      <w:r>
        <w:t xml:space="preserve"> på afviklingen af sagerne.   </w:t>
      </w:r>
    </w:p>
    <w:sectPr w:rsidR="00BE1E24" w:rsidSect="00F27A9A">
      <w:footerReference w:type="default" r:id="rId8"/>
      <w:headerReference w:type="first" r:id="rId9"/>
      <w:footerReference w:type="first" r:id="rId10"/>
      <w:pgSz w:w="11906" w:h="16838"/>
      <w:pgMar w:top="1701" w:right="1134" w:bottom="1701" w:left="1134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ABF" w:rsidRDefault="00D96ABF" w:rsidP="0047591E">
      <w:r>
        <w:separator/>
      </w:r>
    </w:p>
  </w:endnote>
  <w:endnote w:type="continuationSeparator" w:id="0">
    <w:p w:rsidR="00D96ABF" w:rsidRDefault="00D96ABF" w:rsidP="00475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67416253"/>
      <w:docPartObj>
        <w:docPartGallery w:val="Page Numbers (Bottom of Page)"/>
        <w:docPartUnique/>
      </w:docPartObj>
    </w:sdtPr>
    <w:sdtEndPr/>
    <w:sdtContent>
      <w:p w:rsidR="000410A6" w:rsidRDefault="000410A6">
        <w:pPr>
          <w:pStyle w:val="Sidefo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3F2F">
          <w:rPr>
            <w:noProof/>
          </w:rPr>
          <w:t>7</w:t>
        </w:r>
        <w:r>
          <w:fldChar w:fldCharType="end"/>
        </w:r>
      </w:p>
    </w:sdtContent>
  </w:sdt>
  <w:p w:rsidR="000410A6" w:rsidRDefault="000410A6" w:rsidP="0047591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A6" w:rsidRDefault="000410A6" w:rsidP="003B3137">
    <w:pPr>
      <w:pStyle w:val="Sidefod"/>
      <w:jc w:val="right"/>
    </w:pPr>
    <w:r>
      <w:t>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ABF" w:rsidRDefault="00D96ABF" w:rsidP="0047591E">
      <w:r>
        <w:separator/>
      </w:r>
    </w:p>
  </w:footnote>
  <w:footnote w:type="continuationSeparator" w:id="0">
    <w:p w:rsidR="00D96ABF" w:rsidRDefault="00D96ABF" w:rsidP="0047591E">
      <w:r>
        <w:continuationSeparator/>
      </w:r>
    </w:p>
  </w:footnote>
  <w:footnote w:id="1">
    <w:p w:rsidR="000410A6" w:rsidRDefault="000410A6">
      <w:pPr>
        <w:pStyle w:val="Fodnotetekst"/>
      </w:pPr>
      <w:r>
        <w:rPr>
          <w:rStyle w:val="Fodnotehenvisning"/>
        </w:rPr>
        <w:footnoteRef/>
      </w:r>
      <w:r>
        <w:t xml:space="preserve"> Ved en VVV-sag forstås sager, som anklagemyndigheden har markeret</w:t>
      </w:r>
      <w:r w:rsidRPr="00CC1AD9">
        <w:t xml:space="preserve"> som værende en særlig pri</w:t>
      </w:r>
      <w:r>
        <w:t>oriteret voldssag, voldtægtssag</w:t>
      </w:r>
      <w:r w:rsidRPr="00CC1AD9">
        <w:t xml:space="preserve"> elle</w:t>
      </w:r>
      <w:r>
        <w:t>r våbensag. VVV-sagerne er omfattet af en politisk målsætning om, at sagerne skal være løst inden for 37 dage.</w:t>
      </w:r>
      <w:r w:rsidRPr="00CC1AD9">
        <w:tab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10A6" w:rsidRPr="003B3137" w:rsidRDefault="00700A2E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5408" behindDoc="0" locked="0" layoutInCell="1" allowOverlap="1" wp14:anchorId="506CCA91" wp14:editId="0C20F6CD">
          <wp:simplePos x="0" y="0"/>
          <wp:positionH relativeFrom="margin">
            <wp:align>center</wp:align>
          </wp:positionH>
          <wp:positionV relativeFrom="paragraph">
            <wp:posOffset>4838700</wp:posOffset>
          </wp:positionV>
          <wp:extent cx="7591425" cy="4820452"/>
          <wp:effectExtent l="0" t="0" r="0" b="0"/>
          <wp:wrapNone/>
          <wp:docPr id="3" name="Billed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5317"/>
                  <a:stretch/>
                </pic:blipFill>
                <pic:spPr bwMode="auto">
                  <a:xfrm>
                    <a:off x="0" y="0"/>
                    <a:ext cx="7591425" cy="48204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0A6">
      <w:rPr>
        <w:noProof/>
        <w:lang w:eastAsia="da-DK"/>
      </w:rPr>
      <w:drawing>
        <wp:anchor distT="0" distB="0" distL="114300" distR="114300" simplePos="0" relativeHeight="251663360" behindDoc="1" locked="0" layoutInCell="1" allowOverlap="1" wp14:anchorId="758C5FF6" wp14:editId="58B6BE85">
          <wp:simplePos x="0" y="0"/>
          <wp:positionH relativeFrom="margin">
            <wp:align>center</wp:align>
          </wp:positionH>
          <wp:positionV relativeFrom="paragraph">
            <wp:posOffset>171450</wp:posOffset>
          </wp:positionV>
          <wp:extent cx="1924050" cy="1924050"/>
          <wp:effectExtent l="0" t="0" r="0" b="0"/>
          <wp:wrapTight wrapText="bothSides">
            <wp:wrapPolygon edited="0">
              <wp:start x="0" y="0"/>
              <wp:lineTo x="0" y="21386"/>
              <wp:lineTo x="21386" y="21386"/>
              <wp:lineTo x="21386" y="0"/>
              <wp:lineTo x="0" y="0"/>
            </wp:wrapPolygon>
          </wp:wrapTight>
          <wp:docPr id="19" name="Billede 19" descr="C:\Users\fer\AppData\Local\Microsoft\Windows\INetCache\Content.Word\domstol.d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:\Users\fer\AppData\Local\Microsoft\Windows\INetCache\Content.Word\domstol.dk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050" cy="192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E0295"/>
    <w:multiLevelType w:val="hybridMultilevel"/>
    <w:tmpl w:val="86BC5008"/>
    <w:lvl w:ilvl="0" w:tplc="5F84C33E">
      <w:start w:val="1"/>
      <w:numFmt w:val="decimal"/>
      <w:lvlText w:val="%1."/>
      <w:lvlJc w:val="left"/>
      <w:pPr>
        <w:ind w:left="454" w:hanging="454"/>
      </w:pPr>
      <w:rPr>
        <w:rFonts w:hint="default"/>
      </w:rPr>
    </w:lvl>
    <w:lvl w:ilvl="1" w:tplc="D346A55A">
      <w:start w:val="1"/>
      <w:numFmt w:val="bullet"/>
      <w:lvlText w:val="-"/>
      <w:lvlJc w:val="left"/>
      <w:pPr>
        <w:ind w:left="1440" w:hanging="360"/>
      </w:pPr>
      <w:rPr>
        <w:rFonts w:ascii="Times New Roman" w:eastAsiaTheme="majorEastAsia" w:hAnsi="Times New Roman" w:cs="Times New Roman"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2C083A"/>
    <w:multiLevelType w:val="multilevel"/>
    <w:tmpl w:val="3AD6ABD2"/>
    <w:lvl w:ilvl="0">
      <w:start w:val="1"/>
      <w:numFmt w:val="decimal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67" w:hanging="56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" w:hanging="56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67" w:hanging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7" w:hanging="567"/>
      </w:pPr>
      <w:rPr>
        <w:rFonts w:hint="default"/>
      </w:rPr>
    </w:lvl>
  </w:abstractNum>
  <w:abstractNum w:abstractNumId="2" w15:restartNumberingAfterBreak="0">
    <w:nsid w:val="0B7B309E"/>
    <w:multiLevelType w:val="hybridMultilevel"/>
    <w:tmpl w:val="11D68508"/>
    <w:lvl w:ilvl="0" w:tplc="DC22B0D2">
      <w:start w:val="1"/>
      <w:numFmt w:val="decimal"/>
      <w:suff w:val="space"/>
      <w:lvlText w:val="%1."/>
      <w:lvlJc w:val="left"/>
      <w:pPr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5E3CFC"/>
    <w:multiLevelType w:val="multilevel"/>
    <w:tmpl w:val="8B12C482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13F43ADE"/>
    <w:multiLevelType w:val="hybridMultilevel"/>
    <w:tmpl w:val="1B72667A"/>
    <w:lvl w:ilvl="0" w:tplc="A38A7D2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71789A"/>
    <w:multiLevelType w:val="hybridMultilevel"/>
    <w:tmpl w:val="1042185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877E04"/>
    <w:multiLevelType w:val="multilevel"/>
    <w:tmpl w:val="40DC83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193A0BB4"/>
    <w:multiLevelType w:val="hybridMultilevel"/>
    <w:tmpl w:val="19ECD9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FC232D"/>
    <w:multiLevelType w:val="hybridMultilevel"/>
    <w:tmpl w:val="6BCAC348"/>
    <w:lvl w:ilvl="0" w:tplc="A38A7D20">
      <w:start w:val="1"/>
      <w:numFmt w:val="decimal"/>
      <w:lvlText w:val="%1.1.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F38C2"/>
    <w:multiLevelType w:val="multilevel"/>
    <w:tmpl w:val="140C554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2A826BCD"/>
    <w:multiLevelType w:val="hybridMultilevel"/>
    <w:tmpl w:val="CDF6D78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433E64"/>
    <w:multiLevelType w:val="hybridMultilevel"/>
    <w:tmpl w:val="680C300C"/>
    <w:lvl w:ilvl="0" w:tplc="711220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B47FD4"/>
    <w:multiLevelType w:val="multilevel"/>
    <w:tmpl w:val="8462396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97B5268"/>
    <w:multiLevelType w:val="hybridMultilevel"/>
    <w:tmpl w:val="F1E44D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1410A"/>
    <w:multiLevelType w:val="multilevel"/>
    <w:tmpl w:val="DFF0B62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3BAD242B"/>
    <w:multiLevelType w:val="hybridMultilevel"/>
    <w:tmpl w:val="6804E73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C6490A"/>
    <w:multiLevelType w:val="hybridMultilevel"/>
    <w:tmpl w:val="3D1CE78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A05A3"/>
    <w:multiLevelType w:val="multilevel"/>
    <w:tmpl w:val="C240C1E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D1041F0"/>
    <w:multiLevelType w:val="multilevel"/>
    <w:tmpl w:val="A590FB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3E6D1186"/>
    <w:multiLevelType w:val="hybridMultilevel"/>
    <w:tmpl w:val="F348C12E"/>
    <w:lvl w:ilvl="0" w:tplc="02A25F06">
      <w:start w:val="1"/>
      <w:numFmt w:val="decimal"/>
      <w:lvlText w:val="%1.1"/>
      <w:lvlJc w:val="left"/>
      <w:pPr>
        <w:ind w:left="79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515" w:hanging="360"/>
      </w:pPr>
    </w:lvl>
    <w:lvl w:ilvl="2" w:tplc="0406001B" w:tentative="1">
      <w:start w:val="1"/>
      <w:numFmt w:val="lowerRoman"/>
      <w:lvlText w:val="%3."/>
      <w:lvlJc w:val="right"/>
      <w:pPr>
        <w:ind w:left="2235" w:hanging="180"/>
      </w:pPr>
    </w:lvl>
    <w:lvl w:ilvl="3" w:tplc="0406000F" w:tentative="1">
      <w:start w:val="1"/>
      <w:numFmt w:val="decimal"/>
      <w:lvlText w:val="%4."/>
      <w:lvlJc w:val="left"/>
      <w:pPr>
        <w:ind w:left="2955" w:hanging="360"/>
      </w:pPr>
    </w:lvl>
    <w:lvl w:ilvl="4" w:tplc="04060019" w:tentative="1">
      <w:start w:val="1"/>
      <w:numFmt w:val="lowerLetter"/>
      <w:lvlText w:val="%5."/>
      <w:lvlJc w:val="left"/>
      <w:pPr>
        <w:ind w:left="3675" w:hanging="360"/>
      </w:pPr>
    </w:lvl>
    <w:lvl w:ilvl="5" w:tplc="0406001B" w:tentative="1">
      <w:start w:val="1"/>
      <w:numFmt w:val="lowerRoman"/>
      <w:lvlText w:val="%6."/>
      <w:lvlJc w:val="right"/>
      <w:pPr>
        <w:ind w:left="4395" w:hanging="180"/>
      </w:pPr>
    </w:lvl>
    <w:lvl w:ilvl="6" w:tplc="0406000F" w:tentative="1">
      <w:start w:val="1"/>
      <w:numFmt w:val="decimal"/>
      <w:lvlText w:val="%7."/>
      <w:lvlJc w:val="left"/>
      <w:pPr>
        <w:ind w:left="5115" w:hanging="360"/>
      </w:pPr>
    </w:lvl>
    <w:lvl w:ilvl="7" w:tplc="04060019" w:tentative="1">
      <w:start w:val="1"/>
      <w:numFmt w:val="lowerLetter"/>
      <w:lvlText w:val="%8."/>
      <w:lvlJc w:val="left"/>
      <w:pPr>
        <w:ind w:left="5835" w:hanging="360"/>
      </w:pPr>
    </w:lvl>
    <w:lvl w:ilvl="8" w:tplc="0406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0" w15:restartNumberingAfterBreak="0">
    <w:nsid w:val="481B71ED"/>
    <w:multiLevelType w:val="hybridMultilevel"/>
    <w:tmpl w:val="D4B4AAC0"/>
    <w:lvl w:ilvl="0" w:tplc="65B2F9E2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1C569E"/>
    <w:multiLevelType w:val="hybridMultilevel"/>
    <w:tmpl w:val="39FCD2A4"/>
    <w:lvl w:ilvl="0" w:tplc="F8546794">
      <w:start w:val="1"/>
      <w:numFmt w:val="decimal"/>
      <w:lvlText w:val="%1."/>
      <w:lvlJc w:val="left"/>
      <w:pPr>
        <w:ind w:left="340" w:hanging="34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FE265F"/>
    <w:multiLevelType w:val="multilevel"/>
    <w:tmpl w:val="EC8C79E2"/>
    <w:lvl w:ilvl="0">
      <w:start w:val="2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3" w15:restartNumberingAfterBreak="0">
    <w:nsid w:val="5619517A"/>
    <w:multiLevelType w:val="hybridMultilevel"/>
    <w:tmpl w:val="FEBE52E4"/>
    <w:lvl w:ilvl="0" w:tplc="4F06F524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8503A6D"/>
    <w:multiLevelType w:val="hybridMultilevel"/>
    <w:tmpl w:val="5000724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084186"/>
    <w:multiLevelType w:val="multilevel"/>
    <w:tmpl w:val="0718622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F0C0BFC"/>
    <w:multiLevelType w:val="hybridMultilevel"/>
    <w:tmpl w:val="F826648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921D1C"/>
    <w:multiLevelType w:val="multilevel"/>
    <w:tmpl w:val="E696B774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5FDE099B"/>
    <w:multiLevelType w:val="hybridMultilevel"/>
    <w:tmpl w:val="78ACD1A2"/>
    <w:lvl w:ilvl="0" w:tplc="F1283852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1A303AF"/>
    <w:multiLevelType w:val="hybridMultilevel"/>
    <w:tmpl w:val="F19EF41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8A25C4"/>
    <w:multiLevelType w:val="hybridMultilevel"/>
    <w:tmpl w:val="A9C42F62"/>
    <w:lvl w:ilvl="0" w:tplc="593E2794">
      <w:start w:val="1"/>
      <w:numFmt w:val="bullet"/>
      <w:lvlText w:val="-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9E48B6"/>
    <w:multiLevelType w:val="multilevel"/>
    <w:tmpl w:val="AAA4C1AA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3.1.1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2" w15:restartNumberingAfterBreak="0">
    <w:nsid w:val="66D42E80"/>
    <w:multiLevelType w:val="multilevel"/>
    <w:tmpl w:val="346ECF3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 w15:restartNumberingAfterBreak="0">
    <w:nsid w:val="67C369F1"/>
    <w:multiLevelType w:val="multilevel"/>
    <w:tmpl w:val="A246E734"/>
    <w:lvl w:ilvl="0">
      <w:start w:val="1"/>
      <w:numFmt w:val="decimal"/>
      <w:lvlText w:val="%1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54" w:hanging="454"/>
      </w:pPr>
      <w:rPr>
        <w:rFonts w:hint="default"/>
      </w:rPr>
    </w:lvl>
  </w:abstractNum>
  <w:abstractNum w:abstractNumId="34" w15:restartNumberingAfterBreak="0">
    <w:nsid w:val="687C2DB3"/>
    <w:multiLevelType w:val="hybridMultilevel"/>
    <w:tmpl w:val="A5A40ECC"/>
    <w:lvl w:ilvl="0" w:tplc="F1283852">
      <w:start w:val="1"/>
      <w:numFmt w:val="decimal"/>
      <w:lvlText w:val="%1.2.1"/>
      <w:lvlJc w:val="left"/>
      <w:pPr>
        <w:ind w:left="454" w:hanging="454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1A67D4"/>
    <w:multiLevelType w:val="multilevel"/>
    <w:tmpl w:val="DB562CA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6" w15:restartNumberingAfterBreak="0">
    <w:nsid w:val="70372BF6"/>
    <w:multiLevelType w:val="multilevel"/>
    <w:tmpl w:val="79C6334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7" w15:restartNumberingAfterBreak="0">
    <w:nsid w:val="70692E03"/>
    <w:multiLevelType w:val="hybridMultilevel"/>
    <w:tmpl w:val="5626490A"/>
    <w:lvl w:ilvl="0" w:tplc="79DA35C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695F3C"/>
    <w:multiLevelType w:val="hybridMultilevel"/>
    <w:tmpl w:val="3C3AC6E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750F1D"/>
    <w:multiLevelType w:val="hybridMultilevel"/>
    <w:tmpl w:val="C25025AE"/>
    <w:lvl w:ilvl="0" w:tplc="0406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506" w:hanging="360"/>
      </w:pPr>
    </w:lvl>
    <w:lvl w:ilvl="2" w:tplc="0406001B" w:tentative="1">
      <w:start w:val="1"/>
      <w:numFmt w:val="lowerRoman"/>
      <w:lvlText w:val="%3."/>
      <w:lvlJc w:val="right"/>
      <w:pPr>
        <w:ind w:left="2226" w:hanging="180"/>
      </w:pPr>
    </w:lvl>
    <w:lvl w:ilvl="3" w:tplc="0406000F" w:tentative="1">
      <w:start w:val="1"/>
      <w:numFmt w:val="decimal"/>
      <w:lvlText w:val="%4."/>
      <w:lvlJc w:val="left"/>
      <w:pPr>
        <w:ind w:left="2946" w:hanging="360"/>
      </w:pPr>
    </w:lvl>
    <w:lvl w:ilvl="4" w:tplc="04060019" w:tentative="1">
      <w:start w:val="1"/>
      <w:numFmt w:val="lowerLetter"/>
      <w:lvlText w:val="%5."/>
      <w:lvlJc w:val="left"/>
      <w:pPr>
        <w:ind w:left="3666" w:hanging="360"/>
      </w:pPr>
    </w:lvl>
    <w:lvl w:ilvl="5" w:tplc="0406001B" w:tentative="1">
      <w:start w:val="1"/>
      <w:numFmt w:val="lowerRoman"/>
      <w:lvlText w:val="%6."/>
      <w:lvlJc w:val="right"/>
      <w:pPr>
        <w:ind w:left="4386" w:hanging="180"/>
      </w:pPr>
    </w:lvl>
    <w:lvl w:ilvl="6" w:tplc="0406000F" w:tentative="1">
      <w:start w:val="1"/>
      <w:numFmt w:val="decimal"/>
      <w:lvlText w:val="%7."/>
      <w:lvlJc w:val="left"/>
      <w:pPr>
        <w:ind w:left="5106" w:hanging="360"/>
      </w:pPr>
    </w:lvl>
    <w:lvl w:ilvl="7" w:tplc="04060019" w:tentative="1">
      <w:start w:val="1"/>
      <w:numFmt w:val="lowerLetter"/>
      <w:lvlText w:val="%8."/>
      <w:lvlJc w:val="left"/>
      <w:pPr>
        <w:ind w:left="5826" w:hanging="360"/>
      </w:pPr>
    </w:lvl>
    <w:lvl w:ilvl="8" w:tplc="040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8EC355C"/>
    <w:multiLevelType w:val="multilevel"/>
    <w:tmpl w:val="9DA8DFD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 w15:restartNumberingAfterBreak="0">
    <w:nsid w:val="79592B69"/>
    <w:multiLevelType w:val="hybridMultilevel"/>
    <w:tmpl w:val="3BE2CAA4"/>
    <w:lvl w:ilvl="0" w:tplc="AAA04F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CC65A1"/>
    <w:multiLevelType w:val="hybridMultilevel"/>
    <w:tmpl w:val="32B4A58E"/>
    <w:lvl w:ilvl="0" w:tplc="F1283852">
      <w:start w:val="1"/>
      <w:numFmt w:val="decimal"/>
      <w:lvlText w:val="%1.2.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DC94D22"/>
    <w:multiLevelType w:val="multilevel"/>
    <w:tmpl w:val="C122CB3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21"/>
  </w:num>
  <w:num w:numId="2">
    <w:abstractNumId w:val="26"/>
  </w:num>
  <w:num w:numId="3">
    <w:abstractNumId w:val="27"/>
  </w:num>
  <w:num w:numId="4">
    <w:abstractNumId w:val="7"/>
  </w:num>
  <w:num w:numId="5">
    <w:abstractNumId w:val="9"/>
  </w:num>
  <w:num w:numId="6">
    <w:abstractNumId w:val="22"/>
  </w:num>
  <w:num w:numId="7">
    <w:abstractNumId w:val="35"/>
  </w:num>
  <w:num w:numId="8">
    <w:abstractNumId w:val="32"/>
  </w:num>
  <w:num w:numId="9">
    <w:abstractNumId w:val="36"/>
  </w:num>
  <w:num w:numId="10">
    <w:abstractNumId w:val="12"/>
  </w:num>
  <w:num w:numId="11">
    <w:abstractNumId w:val="37"/>
  </w:num>
  <w:num w:numId="12">
    <w:abstractNumId w:val="17"/>
  </w:num>
  <w:num w:numId="13">
    <w:abstractNumId w:val="18"/>
  </w:num>
  <w:num w:numId="14">
    <w:abstractNumId w:val="23"/>
  </w:num>
  <w:num w:numId="15">
    <w:abstractNumId w:val="14"/>
  </w:num>
  <w:num w:numId="16">
    <w:abstractNumId w:val="43"/>
  </w:num>
  <w:num w:numId="17">
    <w:abstractNumId w:val="25"/>
  </w:num>
  <w:num w:numId="18">
    <w:abstractNumId w:val="29"/>
  </w:num>
  <w:num w:numId="19">
    <w:abstractNumId w:val="0"/>
  </w:num>
  <w:num w:numId="20">
    <w:abstractNumId w:val="19"/>
  </w:num>
  <w:num w:numId="21">
    <w:abstractNumId w:val="33"/>
  </w:num>
  <w:num w:numId="22">
    <w:abstractNumId w:val="3"/>
  </w:num>
  <w:num w:numId="23">
    <w:abstractNumId w:val="6"/>
  </w:num>
  <w:num w:numId="24">
    <w:abstractNumId w:val="40"/>
  </w:num>
  <w:num w:numId="25">
    <w:abstractNumId w:val="31"/>
  </w:num>
  <w:num w:numId="26">
    <w:abstractNumId w:val="1"/>
  </w:num>
  <w:num w:numId="27">
    <w:abstractNumId w:val="15"/>
  </w:num>
  <w:num w:numId="28">
    <w:abstractNumId w:val="39"/>
  </w:num>
  <w:num w:numId="29">
    <w:abstractNumId w:val="8"/>
  </w:num>
  <w:num w:numId="30">
    <w:abstractNumId w:val="4"/>
  </w:num>
  <w:num w:numId="31">
    <w:abstractNumId w:val="30"/>
  </w:num>
  <w:num w:numId="32">
    <w:abstractNumId w:val="42"/>
  </w:num>
  <w:num w:numId="33">
    <w:abstractNumId w:val="28"/>
  </w:num>
  <w:num w:numId="34">
    <w:abstractNumId w:val="34"/>
  </w:num>
  <w:num w:numId="35">
    <w:abstractNumId w:val="16"/>
  </w:num>
  <w:num w:numId="36">
    <w:abstractNumId w:val="20"/>
  </w:num>
  <w:num w:numId="37">
    <w:abstractNumId w:val="2"/>
  </w:num>
  <w:num w:numId="38">
    <w:abstractNumId w:val="13"/>
  </w:num>
  <w:num w:numId="39">
    <w:abstractNumId w:val="41"/>
  </w:num>
  <w:num w:numId="40">
    <w:abstractNumId w:val="24"/>
  </w:num>
  <w:num w:numId="41">
    <w:abstractNumId w:val="11"/>
  </w:num>
  <w:num w:numId="42">
    <w:abstractNumId w:val="38"/>
  </w:num>
  <w:num w:numId="43">
    <w:abstractNumId w:val="5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130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3BB"/>
    <w:rsid w:val="00007260"/>
    <w:rsid w:val="00012041"/>
    <w:rsid w:val="00013B9E"/>
    <w:rsid w:val="00014EE6"/>
    <w:rsid w:val="00016C6E"/>
    <w:rsid w:val="00017D4E"/>
    <w:rsid w:val="000229F1"/>
    <w:rsid w:val="000305BC"/>
    <w:rsid w:val="000410A6"/>
    <w:rsid w:val="00060044"/>
    <w:rsid w:val="00060BB8"/>
    <w:rsid w:val="000A6DD3"/>
    <w:rsid w:val="000A7BA0"/>
    <w:rsid w:val="000C6CEC"/>
    <w:rsid w:val="000C6DEA"/>
    <w:rsid w:val="000D5724"/>
    <w:rsid w:val="000D67AA"/>
    <w:rsid w:val="000E485F"/>
    <w:rsid w:val="000E5FDB"/>
    <w:rsid w:val="000F7848"/>
    <w:rsid w:val="00117B4E"/>
    <w:rsid w:val="0013031D"/>
    <w:rsid w:val="001371A7"/>
    <w:rsid w:val="001422A7"/>
    <w:rsid w:val="00153BC4"/>
    <w:rsid w:val="00155B78"/>
    <w:rsid w:val="001572B9"/>
    <w:rsid w:val="00164C83"/>
    <w:rsid w:val="00171994"/>
    <w:rsid w:val="00171AC4"/>
    <w:rsid w:val="00177B3E"/>
    <w:rsid w:val="001827C8"/>
    <w:rsid w:val="001863D5"/>
    <w:rsid w:val="001A039F"/>
    <w:rsid w:val="001A109F"/>
    <w:rsid w:val="001B2868"/>
    <w:rsid w:val="001B72BB"/>
    <w:rsid w:val="001C4B62"/>
    <w:rsid w:val="001C6AEA"/>
    <w:rsid w:val="001E6856"/>
    <w:rsid w:val="002000FB"/>
    <w:rsid w:val="00203BBD"/>
    <w:rsid w:val="00223767"/>
    <w:rsid w:val="002377C1"/>
    <w:rsid w:val="00242F8D"/>
    <w:rsid w:val="00245443"/>
    <w:rsid w:val="00255E29"/>
    <w:rsid w:val="00264A3B"/>
    <w:rsid w:val="00276239"/>
    <w:rsid w:val="00276E84"/>
    <w:rsid w:val="0028290B"/>
    <w:rsid w:val="0028324F"/>
    <w:rsid w:val="002843D4"/>
    <w:rsid w:val="002954E9"/>
    <w:rsid w:val="00297B77"/>
    <w:rsid w:val="002A11B0"/>
    <w:rsid w:val="002A7845"/>
    <w:rsid w:val="002B1E6F"/>
    <w:rsid w:val="002B428F"/>
    <w:rsid w:val="002B6898"/>
    <w:rsid w:val="002C1E77"/>
    <w:rsid w:val="002D2AD4"/>
    <w:rsid w:val="002E72CB"/>
    <w:rsid w:val="002F24EC"/>
    <w:rsid w:val="00310BD9"/>
    <w:rsid w:val="00313D45"/>
    <w:rsid w:val="0031421B"/>
    <w:rsid w:val="00332302"/>
    <w:rsid w:val="0033396C"/>
    <w:rsid w:val="00343992"/>
    <w:rsid w:val="00345556"/>
    <w:rsid w:val="0035155E"/>
    <w:rsid w:val="00365017"/>
    <w:rsid w:val="0038658E"/>
    <w:rsid w:val="00392C3E"/>
    <w:rsid w:val="00396ADA"/>
    <w:rsid w:val="003A35D1"/>
    <w:rsid w:val="003A619A"/>
    <w:rsid w:val="003B0C42"/>
    <w:rsid w:val="003B3137"/>
    <w:rsid w:val="003B72BD"/>
    <w:rsid w:val="003C4DFA"/>
    <w:rsid w:val="003C592B"/>
    <w:rsid w:val="003C7992"/>
    <w:rsid w:val="003D152E"/>
    <w:rsid w:val="003D7DBC"/>
    <w:rsid w:val="003E06C0"/>
    <w:rsid w:val="003E27C0"/>
    <w:rsid w:val="003E5BA2"/>
    <w:rsid w:val="003E64FA"/>
    <w:rsid w:val="003F19C2"/>
    <w:rsid w:val="003F232A"/>
    <w:rsid w:val="003F45B2"/>
    <w:rsid w:val="004012A0"/>
    <w:rsid w:val="00406284"/>
    <w:rsid w:val="004122ED"/>
    <w:rsid w:val="004174F0"/>
    <w:rsid w:val="00461F17"/>
    <w:rsid w:val="00462781"/>
    <w:rsid w:val="004644A3"/>
    <w:rsid w:val="004660B0"/>
    <w:rsid w:val="0047591E"/>
    <w:rsid w:val="0048387B"/>
    <w:rsid w:val="0048390F"/>
    <w:rsid w:val="00491432"/>
    <w:rsid w:val="0049723C"/>
    <w:rsid w:val="004A28B0"/>
    <w:rsid w:val="004B108E"/>
    <w:rsid w:val="004C0DCF"/>
    <w:rsid w:val="004C2AF0"/>
    <w:rsid w:val="004C7B75"/>
    <w:rsid w:val="004D12E8"/>
    <w:rsid w:val="004D47C1"/>
    <w:rsid w:val="004E3363"/>
    <w:rsid w:val="004F443E"/>
    <w:rsid w:val="004F6E95"/>
    <w:rsid w:val="00502A41"/>
    <w:rsid w:val="00502E1D"/>
    <w:rsid w:val="00503CC1"/>
    <w:rsid w:val="00503D9C"/>
    <w:rsid w:val="00523051"/>
    <w:rsid w:val="00523FE6"/>
    <w:rsid w:val="00526FA0"/>
    <w:rsid w:val="00527E1B"/>
    <w:rsid w:val="00535646"/>
    <w:rsid w:val="00541A00"/>
    <w:rsid w:val="00543EFC"/>
    <w:rsid w:val="00546225"/>
    <w:rsid w:val="0055237C"/>
    <w:rsid w:val="0055379D"/>
    <w:rsid w:val="00557681"/>
    <w:rsid w:val="00561182"/>
    <w:rsid w:val="005720D6"/>
    <w:rsid w:val="00596B71"/>
    <w:rsid w:val="005A20DF"/>
    <w:rsid w:val="005A5008"/>
    <w:rsid w:val="005B0C8D"/>
    <w:rsid w:val="005B32A2"/>
    <w:rsid w:val="005B343D"/>
    <w:rsid w:val="005B67CF"/>
    <w:rsid w:val="005C6B98"/>
    <w:rsid w:val="005D56C9"/>
    <w:rsid w:val="005E14FB"/>
    <w:rsid w:val="005F0D8B"/>
    <w:rsid w:val="006026CF"/>
    <w:rsid w:val="00604EFA"/>
    <w:rsid w:val="00605836"/>
    <w:rsid w:val="00610A5C"/>
    <w:rsid w:val="00625806"/>
    <w:rsid w:val="006307CD"/>
    <w:rsid w:val="006404C8"/>
    <w:rsid w:val="006500B8"/>
    <w:rsid w:val="00657F7C"/>
    <w:rsid w:val="0067450A"/>
    <w:rsid w:val="00683080"/>
    <w:rsid w:val="006A3192"/>
    <w:rsid w:val="006C11A5"/>
    <w:rsid w:val="006F6EF9"/>
    <w:rsid w:val="00700A2E"/>
    <w:rsid w:val="00731152"/>
    <w:rsid w:val="00752A1D"/>
    <w:rsid w:val="00756D7B"/>
    <w:rsid w:val="0075741F"/>
    <w:rsid w:val="00765BB0"/>
    <w:rsid w:val="00766095"/>
    <w:rsid w:val="0076799A"/>
    <w:rsid w:val="00775AF5"/>
    <w:rsid w:val="00776D26"/>
    <w:rsid w:val="00782DE4"/>
    <w:rsid w:val="00783E25"/>
    <w:rsid w:val="007B31C2"/>
    <w:rsid w:val="007C0F0B"/>
    <w:rsid w:val="007C2886"/>
    <w:rsid w:val="007C2D00"/>
    <w:rsid w:val="007D0E0B"/>
    <w:rsid w:val="007D4E33"/>
    <w:rsid w:val="007E2A36"/>
    <w:rsid w:val="007E3D4E"/>
    <w:rsid w:val="007F022C"/>
    <w:rsid w:val="007F1A8D"/>
    <w:rsid w:val="007F3ABF"/>
    <w:rsid w:val="00800172"/>
    <w:rsid w:val="00822128"/>
    <w:rsid w:val="008246F7"/>
    <w:rsid w:val="00836549"/>
    <w:rsid w:val="00836EF1"/>
    <w:rsid w:val="0084249B"/>
    <w:rsid w:val="0085397C"/>
    <w:rsid w:val="008724BA"/>
    <w:rsid w:val="008764F6"/>
    <w:rsid w:val="00877A82"/>
    <w:rsid w:val="008A4AF3"/>
    <w:rsid w:val="008A5411"/>
    <w:rsid w:val="008B06CD"/>
    <w:rsid w:val="008B5620"/>
    <w:rsid w:val="008C13D5"/>
    <w:rsid w:val="008C3505"/>
    <w:rsid w:val="008C571A"/>
    <w:rsid w:val="008D1ABD"/>
    <w:rsid w:val="008F2F92"/>
    <w:rsid w:val="008F40A1"/>
    <w:rsid w:val="00900700"/>
    <w:rsid w:val="00903838"/>
    <w:rsid w:val="00911533"/>
    <w:rsid w:val="00927C50"/>
    <w:rsid w:val="00940B1D"/>
    <w:rsid w:val="00943612"/>
    <w:rsid w:val="0094686E"/>
    <w:rsid w:val="00946ABD"/>
    <w:rsid w:val="009564F7"/>
    <w:rsid w:val="00973C46"/>
    <w:rsid w:val="00973CAE"/>
    <w:rsid w:val="00977439"/>
    <w:rsid w:val="009863BB"/>
    <w:rsid w:val="00990589"/>
    <w:rsid w:val="00991692"/>
    <w:rsid w:val="00994043"/>
    <w:rsid w:val="009B2DC5"/>
    <w:rsid w:val="009C03CA"/>
    <w:rsid w:val="009C0A63"/>
    <w:rsid w:val="009C482C"/>
    <w:rsid w:val="009D33C7"/>
    <w:rsid w:val="009E7A72"/>
    <w:rsid w:val="00A04C85"/>
    <w:rsid w:val="00A14079"/>
    <w:rsid w:val="00A25019"/>
    <w:rsid w:val="00A312DA"/>
    <w:rsid w:val="00A31F80"/>
    <w:rsid w:val="00A36380"/>
    <w:rsid w:val="00A40094"/>
    <w:rsid w:val="00A41D9E"/>
    <w:rsid w:val="00A47E99"/>
    <w:rsid w:val="00A51ED2"/>
    <w:rsid w:val="00A5632C"/>
    <w:rsid w:val="00A70B6F"/>
    <w:rsid w:val="00A71986"/>
    <w:rsid w:val="00A75DB2"/>
    <w:rsid w:val="00A8101F"/>
    <w:rsid w:val="00A81FD2"/>
    <w:rsid w:val="00A8200D"/>
    <w:rsid w:val="00A86DF8"/>
    <w:rsid w:val="00A901A4"/>
    <w:rsid w:val="00A923DD"/>
    <w:rsid w:val="00A9288A"/>
    <w:rsid w:val="00AA1A9C"/>
    <w:rsid w:val="00AA21F9"/>
    <w:rsid w:val="00AA3AE9"/>
    <w:rsid w:val="00AC1AA1"/>
    <w:rsid w:val="00AC3F2F"/>
    <w:rsid w:val="00AD2189"/>
    <w:rsid w:val="00AF70CF"/>
    <w:rsid w:val="00B009CC"/>
    <w:rsid w:val="00B07F28"/>
    <w:rsid w:val="00B107FF"/>
    <w:rsid w:val="00B174AB"/>
    <w:rsid w:val="00B22917"/>
    <w:rsid w:val="00B235A0"/>
    <w:rsid w:val="00B2384E"/>
    <w:rsid w:val="00B41EF4"/>
    <w:rsid w:val="00B468C6"/>
    <w:rsid w:val="00B47268"/>
    <w:rsid w:val="00B74AD9"/>
    <w:rsid w:val="00B755B6"/>
    <w:rsid w:val="00BA495B"/>
    <w:rsid w:val="00BB6FD6"/>
    <w:rsid w:val="00BB7873"/>
    <w:rsid w:val="00BC3666"/>
    <w:rsid w:val="00BC4E76"/>
    <w:rsid w:val="00BE1E24"/>
    <w:rsid w:val="00BE5EFD"/>
    <w:rsid w:val="00BE6858"/>
    <w:rsid w:val="00BF30EE"/>
    <w:rsid w:val="00BF3DF9"/>
    <w:rsid w:val="00BF4F2E"/>
    <w:rsid w:val="00C12B4C"/>
    <w:rsid w:val="00C12C83"/>
    <w:rsid w:val="00C213EF"/>
    <w:rsid w:val="00C23732"/>
    <w:rsid w:val="00C30130"/>
    <w:rsid w:val="00C35507"/>
    <w:rsid w:val="00C35D52"/>
    <w:rsid w:val="00C45435"/>
    <w:rsid w:val="00C47DCA"/>
    <w:rsid w:val="00C50F59"/>
    <w:rsid w:val="00C52D5B"/>
    <w:rsid w:val="00C661BC"/>
    <w:rsid w:val="00C77DBE"/>
    <w:rsid w:val="00C82852"/>
    <w:rsid w:val="00CA039E"/>
    <w:rsid w:val="00CA055D"/>
    <w:rsid w:val="00CA3564"/>
    <w:rsid w:val="00CB34E4"/>
    <w:rsid w:val="00CC1AD9"/>
    <w:rsid w:val="00CC69C7"/>
    <w:rsid w:val="00CD5B2C"/>
    <w:rsid w:val="00CE24F5"/>
    <w:rsid w:val="00CE48E4"/>
    <w:rsid w:val="00D03602"/>
    <w:rsid w:val="00D043C2"/>
    <w:rsid w:val="00D20E1C"/>
    <w:rsid w:val="00D30257"/>
    <w:rsid w:val="00D30DF9"/>
    <w:rsid w:val="00D30F46"/>
    <w:rsid w:val="00D31415"/>
    <w:rsid w:val="00D335BD"/>
    <w:rsid w:val="00D36D65"/>
    <w:rsid w:val="00D41A59"/>
    <w:rsid w:val="00D45B79"/>
    <w:rsid w:val="00D47109"/>
    <w:rsid w:val="00D50E25"/>
    <w:rsid w:val="00D5128B"/>
    <w:rsid w:val="00D60FF0"/>
    <w:rsid w:val="00D6264C"/>
    <w:rsid w:val="00D66156"/>
    <w:rsid w:val="00D66EF1"/>
    <w:rsid w:val="00D92D36"/>
    <w:rsid w:val="00D96ABF"/>
    <w:rsid w:val="00DA180A"/>
    <w:rsid w:val="00DC4215"/>
    <w:rsid w:val="00DD27F9"/>
    <w:rsid w:val="00DE38AE"/>
    <w:rsid w:val="00DF13EA"/>
    <w:rsid w:val="00DF2D59"/>
    <w:rsid w:val="00DF5145"/>
    <w:rsid w:val="00DF6D26"/>
    <w:rsid w:val="00E03FB0"/>
    <w:rsid w:val="00E16874"/>
    <w:rsid w:val="00E23195"/>
    <w:rsid w:val="00E446CA"/>
    <w:rsid w:val="00E51E19"/>
    <w:rsid w:val="00E54196"/>
    <w:rsid w:val="00E7017D"/>
    <w:rsid w:val="00E70B70"/>
    <w:rsid w:val="00E83E3B"/>
    <w:rsid w:val="00E9223E"/>
    <w:rsid w:val="00EA0CF3"/>
    <w:rsid w:val="00EB35B8"/>
    <w:rsid w:val="00EB72F1"/>
    <w:rsid w:val="00EC2347"/>
    <w:rsid w:val="00EC5A18"/>
    <w:rsid w:val="00EC7AD2"/>
    <w:rsid w:val="00ED0FA0"/>
    <w:rsid w:val="00EE0EA9"/>
    <w:rsid w:val="00EE62E7"/>
    <w:rsid w:val="00F0301C"/>
    <w:rsid w:val="00F0594E"/>
    <w:rsid w:val="00F07484"/>
    <w:rsid w:val="00F10554"/>
    <w:rsid w:val="00F20182"/>
    <w:rsid w:val="00F2362D"/>
    <w:rsid w:val="00F27A9A"/>
    <w:rsid w:val="00F4551F"/>
    <w:rsid w:val="00F45B15"/>
    <w:rsid w:val="00F4648F"/>
    <w:rsid w:val="00F53F4A"/>
    <w:rsid w:val="00F54EAA"/>
    <w:rsid w:val="00F62BDE"/>
    <w:rsid w:val="00F63FC8"/>
    <w:rsid w:val="00F71647"/>
    <w:rsid w:val="00F764B6"/>
    <w:rsid w:val="00F7741C"/>
    <w:rsid w:val="00F96E96"/>
    <w:rsid w:val="00FA3241"/>
    <w:rsid w:val="00FA5C42"/>
    <w:rsid w:val="00FB493B"/>
    <w:rsid w:val="00FB4B35"/>
    <w:rsid w:val="00FB4C4F"/>
    <w:rsid w:val="00FD1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1F985F-AD34-4AC1-A1E4-4D3543591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7591E"/>
    <w:pPr>
      <w:spacing w:line="276" w:lineRule="auto"/>
      <w:jc w:val="both"/>
    </w:pPr>
    <w:rPr>
      <w:rFonts w:ascii="Arial" w:hAnsi="Arial" w:cs="Times New Roman"/>
      <w:sz w:val="24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2384E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B34E4"/>
    <w:pPr>
      <w:keepNext/>
      <w:keepLines/>
      <w:spacing w:before="40" w:after="0"/>
      <w:outlineLvl w:val="1"/>
    </w:pPr>
    <w:rPr>
      <w:rFonts w:eastAsiaTheme="majorEastAsia" w:cstheme="majorBidi"/>
      <w:b/>
      <w:sz w:val="32"/>
      <w:szCs w:val="26"/>
      <w:u w:val="single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2384E"/>
    <w:pPr>
      <w:keepNext/>
      <w:keepLines/>
      <w:spacing w:before="40" w:after="0"/>
      <w:outlineLvl w:val="2"/>
    </w:pPr>
    <w:rPr>
      <w:rFonts w:eastAsiaTheme="majorEastAsia" w:cstheme="majorBidi"/>
      <w:b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97743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2384E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B34E4"/>
    <w:rPr>
      <w:rFonts w:ascii="Times New Roman" w:eastAsiaTheme="majorEastAsia" w:hAnsi="Times New Roman" w:cstheme="majorBidi"/>
      <w:b/>
      <w:sz w:val="32"/>
      <w:szCs w:val="26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0A7B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0A7BA0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0A7BA0"/>
    <w:rPr>
      <w:color w:val="0563C1" w:themeColor="hyperlink"/>
      <w:u w:val="single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0A7BA0"/>
    <w:rPr>
      <w:color w:val="808080"/>
      <w:shd w:val="clear" w:color="auto" w:fill="E6E6E6"/>
    </w:rPr>
  </w:style>
  <w:style w:type="character" w:styleId="BesgtLink">
    <w:name w:val="FollowedHyperlink"/>
    <w:basedOn w:val="Standardskrifttypeiafsnit"/>
    <w:uiPriority w:val="99"/>
    <w:semiHidden/>
    <w:unhideWhenUsed/>
    <w:rsid w:val="000A7BA0"/>
    <w:rPr>
      <w:color w:val="954F72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1A039F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F07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F07484"/>
    <w:rPr>
      <w:rFonts w:ascii="Times New Roman" w:hAnsi="Times New Roman"/>
      <w:sz w:val="24"/>
    </w:rPr>
  </w:style>
  <w:style w:type="paragraph" w:styleId="Sidefod">
    <w:name w:val="footer"/>
    <w:basedOn w:val="Normal"/>
    <w:link w:val="SidefodTegn"/>
    <w:uiPriority w:val="99"/>
    <w:unhideWhenUsed/>
    <w:rsid w:val="00F0748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F07484"/>
    <w:rPr>
      <w:rFonts w:ascii="Times New Roman" w:hAnsi="Times New Roman"/>
      <w:sz w:val="24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B2384E"/>
    <w:rPr>
      <w:rFonts w:ascii="Arial" w:eastAsiaTheme="majorEastAsia" w:hAnsi="Arial" w:cstheme="majorBidi"/>
      <w:b/>
      <w:sz w:val="24"/>
      <w:szCs w:val="24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977439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styleId="Overskrift">
    <w:name w:val="TOC Heading"/>
    <w:basedOn w:val="Overskrift1"/>
    <w:next w:val="Normal"/>
    <w:uiPriority w:val="39"/>
    <w:unhideWhenUsed/>
    <w:qFormat/>
    <w:rsid w:val="006C11A5"/>
    <w:pPr>
      <w:outlineLvl w:val="9"/>
    </w:pPr>
    <w:rPr>
      <w:rFonts w:asciiTheme="majorHAnsi" w:hAnsiTheme="majorHAnsi"/>
      <w:b w:val="0"/>
      <w:color w:val="2F5496" w:themeColor="accent1" w:themeShade="BF"/>
      <w:lang w:eastAsia="da-DK"/>
    </w:rPr>
  </w:style>
  <w:style w:type="paragraph" w:styleId="Indholdsfortegnelse1">
    <w:name w:val="toc 1"/>
    <w:basedOn w:val="Normal"/>
    <w:next w:val="Normal"/>
    <w:autoRedefine/>
    <w:uiPriority w:val="39"/>
    <w:unhideWhenUsed/>
    <w:rsid w:val="00D20E1C"/>
    <w:pPr>
      <w:tabs>
        <w:tab w:val="right" w:leader="dot" w:pos="9628"/>
      </w:tabs>
      <w:spacing w:after="100"/>
    </w:pPr>
    <w:rPr>
      <w:b/>
      <w:noProof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F7741C"/>
    <w:pPr>
      <w:tabs>
        <w:tab w:val="right" w:leader="dot" w:pos="9628"/>
      </w:tabs>
      <w:spacing w:after="100"/>
      <w:ind w:left="240"/>
    </w:pPr>
    <w:rPr>
      <w:rFonts w:cs="Arial"/>
      <w:b/>
      <w:noProof/>
    </w:rPr>
  </w:style>
  <w:style w:type="paragraph" w:styleId="Indholdsfortegnelse3">
    <w:name w:val="toc 3"/>
    <w:basedOn w:val="Normal"/>
    <w:next w:val="Normal"/>
    <w:autoRedefine/>
    <w:uiPriority w:val="39"/>
    <w:unhideWhenUsed/>
    <w:rsid w:val="006C11A5"/>
    <w:pPr>
      <w:spacing w:after="100"/>
      <w:ind w:left="480"/>
    </w:pPr>
  </w:style>
  <w:style w:type="character" w:customStyle="1" w:styleId="Ulstomtale2">
    <w:name w:val="Uløst omtale2"/>
    <w:basedOn w:val="Standardskrifttypeiafsnit"/>
    <w:uiPriority w:val="99"/>
    <w:semiHidden/>
    <w:unhideWhenUsed/>
    <w:rsid w:val="00903838"/>
    <w:rPr>
      <w:color w:val="808080"/>
      <w:shd w:val="clear" w:color="auto" w:fill="E6E6E6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4726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4726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47268"/>
    <w:rPr>
      <w:rFonts w:ascii="Arial" w:hAnsi="Arial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4726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47268"/>
    <w:rPr>
      <w:rFonts w:ascii="Arial" w:hAnsi="Arial" w:cs="Times New Roman"/>
      <w:b/>
      <w:bCs/>
      <w:sz w:val="20"/>
      <w:szCs w:val="20"/>
    </w:rPr>
  </w:style>
  <w:style w:type="character" w:styleId="Nvn">
    <w:name w:val="Mention"/>
    <w:basedOn w:val="Standardskrifttypeiafsnit"/>
    <w:uiPriority w:val="99"/>
    <w:semiHidden/>
    <w:unhideWhenUsed/>
    <w:rsid w:val="006404C8"/>
    <w:rPr>
      <w:color w:val="2B579A"/>
      <w:shd w:val="clear" w:color="auto" w:fill="E6E6E6"/>
    </w:rPr>
  </w:style>
  <w:style w:type="character" w:customStyle="1" w:styleId="Ulstomtale3">
    <w:name w:val="Uløst omtale3"/>
    <w:basedOn w:val="Standardskrifttypeiafsnit"/>
    <w:uiPriority w:val="99"/>
    <w:semiHidden/>
    <w:unhideWhenUsed/>
    <w:rsid w:val="00E70B70"/>
    <w:rPr>
      <w:color w:val="808080"/>
      <w:shd w:val="clear" w:color="auto" w:fill="E6E6E6"/>
    </w:rPr>
  </w:style>
  <w:style w:type="paragraph" w:styleId="Bloktekst">
    <w:name w:val="Block Text"/>
    <w:basedOn w:val="Normal"/>
    <w:rsid w:val="00B2384E"/>
    <w:pPr>
      <w:spacing w:after="0" w:line="240" w:lineRule="auto"/>
      <w:ind w:left="227" w:right="1304"/>
      <w:jc w:val="left"/>
    </w:pPr>
    <w:rPr>
      <w:rFonts w:ascii="Times New Roman" w:eastAsia="Times New Roman" w:hAnsi="Times New Roman"/>
      <w:szCs w:val="20"/>
      <w:lang w:eastAsia="da-DK"/>
    </w:rPr>
  </w:style>
  <w:style w:type="paragraph" w:styleId="Ingenafstand">
    <w:name w:val="No Spacing"/>
    <w:link w:val="IngenafstandTegn"/>
    <w:uiPriority w:val="1"/>
    <w:qFormat/>
    <w:rsid w:val="00392C3E"/>
    <w:pPr>
      <w:spacing w:after="0" w:line="240" w:lineRule="auto"/>
    </w:pPr>
    <w:rPr>
      <w:rFonts w:eastAsiaTheme="minorEastAsia"/>
      <w:lang w:eastAsia="da-DK"/>
    </w:rPr>
  </w:style>
  <w:style w:type="character" w:customStyle="1" w:styleId="IngenafstandTegn">
    <w:name w:val="Ingen afstand Tegn"/>
    <w:basedOn w:val="Standardskrifttypeiafsnit"/>
    <w:link w:val="Ingenafstand"/>
    <w:uiPriority w:val="1"/>
    <w:rsid w:val="00392C3E"/>
    <w:rPr>
      <w:rFonts w:eastAsiaTheme="minorEastAsia"/>
      <w:lang w:eastAsia="da-DK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CC1AD9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CC1AD9"/>
    <w:rPr>
      <w:rFonts w:ascii="Arial" w:hAnsi="Arial" w:cs="Times New Roman"/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CC1AD9"/>
    <w:rPr>
      <w:vertAlign w:val="superscript"/>
    </w:rPr>
  </w:style>
  <w:style w:type="paragraph" w:customStyle="1" w:styleId="Default">
    <w:name w:val="Default"/>
    <w:rsid w:val="00D66156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473508-87CE-4B39-912D-7FFB05CE5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1222</Words>
  <Characters>7456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Frederik Ellesøe Rasmussen</dc:creator>
  <cp:keywords/>
  <dc:description/>
  <cp:lastModifiedBy>Ronnie Chortzen</cp:lastModifiedBy>
  <cp:revision>2</cp:revision>
  <cp:lastPrinted>2020-04-29T14:07:00Z</cp:lastPrinted>
  <dcterms:created xsi:type="dcterms:W3CDTF">2020-06-24T11:28:00Z</dcterms:created>
  <dcterms:modified xsi:type="dcterms:W3CDTF">2020-06-24T11:28:00Z</dcterms:modified>
</cp:coreProperties>
</file>